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4CCA0" w14:textId="77777777" w:rsidR="00153AF8" w:rsidRDefault="00153AF8">
      <w:pPr>
        <w:jc w:val="center"/>
        <w:rPr>
          <w:sz w:val="20"/>
          <w:highlight w:val="yellow"/>
          <w:lang w:val="en-GB"/>
        </w:rPr>
      </w:pPr>
    </w:p>
    <w:p w14:paraId="2DDAF416" w14:textId="77777777" w:rsidR="00153AF8" w:rsidRDefault="008774AF">
      <w:pPr>
        <w:jc w:val="center"/>
        <w:rPr>
          <w:rStyle w:val="Strong"/>
          <w:sz w:val="28"/>
          <w:szCs w:val="28"/>
          <w:lang w:val="en-GB"/>
        </w:rPr>
      </w:pPr>
      <w:r>
        <w:rPr>
          <w:b/>
          <w:sz w:val="28"/>
          <w:szCs w:val="28"/>
          <w:lang w:val="en-GB"/>
        </w:rPr>
        <w:t>SERVICE CONTRACT NOTICE</w:t>
      </w:r>
    </w:p>
    <w:p w14:paraId="43D2C14A" w14:textId="5D770C8D" w:rsidR="00153AF8" w:rsidRDefault="008774AF">
      <w:pPr>
        <w:jc w:val="center"/>
      </w:pPr>
      <w:r>
        <w:rPr>
          <w:rStyle w:val="Strong"/>
          <w:szCs w:val="24"/>
          <w:lang w:val="en-GB"/>
        </w:rPr>
        <w:t>Contract title</w:t>
      </w:r>
      <w:r>
        <w:rPr>
          <w:rStyle w:val="Strong"/>
          <w:color w:val="000000"/>
          <w:szCs w:val="24"/>
          <w:lang w:val="en-GB"/>
        </w:rPr>
        <w:t xml:space="preserve">: Engaging the procurement expert for supporting the Project "Establishing of a new border cross check point (BCCP) </w:t>
      </w:r>
      <w:proofErr w:type="spellStart"/>
      <w:r>
        <w:rPr>
          <w:rStyle w:val="Strong"/>
          <w:color w:val="000000"/>
          <w:szCs w:val="24"/>
          <w:lang w:val="en-GB"/>
        </w:rPr>
        <w:t>Strumyani</w:t>
      </w:r>
      <w:proofErr w:type="spellEnd"/>
      <w:r>
        <w:rPr>
          <w:rStyle w:val="Strong"/>
          <w:color w:val="000000"/>
          <w:szCs w:val="24"/>
          <w:lang w:val="en-GB"/>
        </w:rPr>
        <w:t xml:space="preserve"> - </w:t>
      </w:r>
      <w:proofErr w:type="spellStart"/>
      <w:r>
        <w:rPr>
          <w:rStyle w:val="Strong"/>
          <w:color w:val="000000"/>
          <w:szCs w:val="24"/>
          <w:lang w:val="en-GB"/>
        </w:rPr>
        <w:t>Berovo</w:t>
      </w:r>
      <w:proofErr w:type="spellEnd"/>
      <w:r>
        <w:rPr>
          <w:rStyle w:val="Strong"/>
          <w:color w:val="000000"/>
          <w:szCs w:val="24"/>
          <w:lang w:val="en-GB"/>
        </w:rPr>
        <w:t xml:space="preserve"> (</w:t>
      </w:r>
      <w:proofErr w:type="spellStart"/>
      <w:r>
        <w:rPr>
          <w:rStyle w:val="Strong"/>
          <w:color w:val="000000"/>
          <w:szCs w:val="24"/>
          <w:lang w:val="en-GB"/>
        </w:rPr>
        <w:t>Klepalo</w:t>
      </w:r>
      <w:proofErr w:type="spellEnd"/>
      <w:r>
        <w:rPr>
          <w:rStyle w:val="Strong"/>
          <w:color w:val="000000"/>
          <w:szCs w:val="24"/>
          <w:lang w:val="en-GB"/>
        </w:rPr>
        <w:t>) between Bulgaria and North Macedonia"</w:t>
      </w:r>
      <w:r>
        <w:rPr>
          <w:rStyle w:val="Strong"/>
          <w:szCs w:val="24"/>
          <w:lang w:val="en-GB"/>
        </w:rPr>
        <w:br/>
        <w:t>Location: Skopje</w:t>
      </w:r>
    </w:p>
    <w:p w14:paraId="074E10CC" w14:textId="77777777" w:rsidR="00153AF8" w:rsidRDefault="00153AF8">
      <w:pPr>
        <w:ind w:left="709" w:hanging="349"/>
        <w:outlineLvl w:val="0"/>
        <w:rPr>
          <w:szCs w:val="24"/>
          <w:lang w:val="en-GB"/>
        </w:rPr>
      </w:pPr>
    </w:p>
    <w:p w14:paraId="58E71E93" w14:textId="77777777" w:rsidR="00153AF8" w:rsidRDefault="008774AF">
      <w:pPr>
        <w:ind w:left="709" w:hanging="349"/>
        <w:outlineLvl w:val="0"/>
        <w:rPr>
          <w:sz w:val="22"/>
          <w:szCs w:val="22"/>
          <w:lang w:val="en-GB"/>
        </w:rPr>
      </w:pPr>
      <w:r>
        <w:rPr>
          <w:rStyle w:val="Strong"/>
          <w:sz w:val="22"/>
          <w:szCs w:val="22"/>
          <w:lang w:val="en-GB"/>
        </w:rPr>
        <w:t>1.</w:t>
      </w:r>
      <w:r>
        <w:rPr>
          <w:rStyle w:val="Strong"/>
          <w:sz w:val="22"/>
          <w:szCs w:val="22"/>
          <w:lang w:val="en-GB"/>
        </w:rPr>
        <w:tab/>
        <w:t>Reference</w:t>
      </w:r>
    </w:p>
    <w:p w14:paraId="358CDDA5" w14:textId="4CF13B26" w:rsidR="00153AF8" w:rsidRDefault="008774AF">
      <w:pPr>
        <w:ind w:left="709" w:hanging="349"/>
        <w:outlineLvl w:val="0"/>
        <w:rPr>
          <w:b/>
          <w:bCs/>
        </w:rPr>
      </w:pPr>
      <w:r>
        <w:rPr>
          <w:b/>
          <w:bCs/>
        </w:rPr>
        <w:t>BCCPK/PE_</w:t>
      </w:r>
      <w:proofErr w:type="gramStart"/>
      <w:r>
        <w:rPr>
          <w:b/>
          <w:bCs/>
        </w:rPr>
        <w:t>01.T</w:t>
      </w:r>
      <w:proofErr w:type="gramEnd"/>
      <w:r w:rsidR="00CA792D">
        <w:rPr>
          <w:b/>
          <w:bCs/>
        </w:rPr>
        <w:t>2</w:t>
      </w:r>
    </w:p>
    <w:p w14:paraId="781FE086" w14:textId="77777777" w:rsidR="00153AF8" w:rsidRDefault="008774AF">
      <w:pPr>
        <w:ind w:left="709" w:hanging="349"/>
        <w:outlineLvl w:val="0"/>
        <w:rPr>
          <w:sz w:val="22"/>
          <w:szCs w:val="22"/>
          <w:lang w:val="en-GB"/>
        </w:rPr>
      </w:pPr>
      <w:r>
        <w:rPr>
          <w:rStyle w:val="Strong"/>
          <w:sz w:val="22"/>
          <w:szCs w:val="22"/>
          <w:lang w:val="en-GB"/>
        </w:rPr>
        <w:t>2.</w:t>
      </w:r>
      <w:r>
        <w:rPr>
          <w:rStyle w:val="Strong"/>
          <w:sz w:val="22"/>
          <w:szCs w:val="22"/>
          <w:lang w:val="en-GB"/>
        </w:rPr>
        <w:tab/>
        <w:t>Procedure</w:t>
      </w:r>
    </w:p>
    <w:p w14:paraId="79F56FDC" w14:textId="77777777" w:rsidR="00153AF8" w:rsidRDefault="008774AF">
      <w:pPr>
        <w:pStyle w:val="Blockquote"/>
        <w:ind w:left="0"/>
        <w:jc w:val="both"/>
      </w:pPr>
      <w:r>
        <w:rPr>
          <w:sz w:val="22"/>
          <w:szCs w:val="22"/>
          <w:lang w:val="en-GB"/>
        </w:rPr>
        <w:t xml:space="preserve">       Simplified</w:t>
      </w:r>
    </w:p>
    <w:p w14:paraId="57D13C70" w14:textId="77777777" w:rsidR="00153AF8" w:rsidRDefault="008774AF">
      <w:pPr>
        <w:ind w:left="709" w:hanging="349"/>
        <w:outlineLvl w:val="0"/>
        <w:rPr>
          <w:b/>
          <w:sz w:val="22"/>
          <w:szCs w:val="22"/>
          <w:lang w:val="en-GB"/>
        </w:rPr>
      </w:pPr>
      <w:r>
        <w:rPr>
          <w:rStyle w:val="Strong"/>
          <w:sz w:val="22"/>
          <w:szCs w:val="22"/>
          <w:lang w:val="en-GB"/>
        </w:rPr>
        <w:t xml:space="preserve"> 3. </w:t>
      </w:r>
      <w:r>
        <w:rPr>
          <w:rStyle w:val="Strong"/>
          <w:sz w:val="22"/>
          <w:szCs w:val="22"/>
          <w:lang w:val="en-GB"/>
        </w:rPr>
        <w:tab/>
        <w:t>Programme title</w:t>
      </w:r>
    </w:p>
    <w:p w14:paraId="110875B9" w14:textId="77777777" w:rsidR="00153AF8" w:rsidRDefault="008774AF">
      <w:pPr>
        <w:pStyle w:val="paragraph"/>
        <w:spacing w:before="0" w:beforeAutospacing="0" w:after="0" w:afterAutospacing="0"/>
        <w:ind w:left="426"/>
        <w:jc w:val="both"/>
        <w:textAlignment w:val="baseline"/>
      </w:pPr>
      <w:r>
        <w:rPr>
          <w:rStyle w:val="Emphasis"/>
          <w:i w:val="0"/>
          <w:color w:val="000000"/>
          <w:sz w:val="22"/>
          <w:szCs w:val="22"/>
          <w:lang w:val="en-GB" w:eastAsia="en-US"/>
        </w:rPr>
        <w:t>Instrument for Pre-accession Assistance (IPA III) - INTERREG IPA Cross-border Cooperation Programme “</w:t>
      </w:r>
      <w:r>
        <w:rPr>
          <w:rStyle w:val="Emphasis"/>
          <w:i w:val="0"/>
          <w:color w:val="000000"/>
          <w:sz w:val="22"/>
          <w:szCs w:val="22"/>
          <w:lang w:val="en-US" w:eastAsia="en-US"/>
        </w:rPr>
        <w:t>Bulgaria</w:t>
      </w:r>
      <w:r>
        <w:rPr>
          <w:rStyle w:val="Emphasis"/>
          <w:i w:val="0"/>
          <w:color w:val="000000"/>
          <w:sz w:val="22"/>
          <w:szCs w:val="22"/>
          <w:lang w:val="en-GB" w:eastAsia="en-US"/>
        </w:rPr>
        <w:t xml:space="preserve"> - Republic of North Macedonia </w:t>
      </w:r>
      <w:proofErr w:type="gramStart"/>
      <w:r>
        <w:rPr>
          <w:rStyle w:val="Emphasis"/>
          <w:i w:val="0"/>
          <w:color w:val="000000"/>
          <w:sz w:val="22"/>
          <w:szCs w:val="22"/>
          <w:lang w:val="en-GB" w:eastAsia="en-US"/>
        </w:rPr>
        <w:t>20</w:t>
      </w:r>
      <w:r>
        <w:rPr>
          <w:rStyle w:val="Emphasis"/>
          <w:i w:val="0"/>
          <w:color w:val="000000"/>
          <w:sz w:val="22"/>
          <w:szCs w:val="22"/>
          <w:lang w:val="en-US" w:eastAsia="en-US"/>
        </w:rPr>
        <w:t>21</w:t>
      </w:r>
      <w:r>
        <w:rPr>
          <w:rStyle w:val="Emphasis"/>
          <w:i w:val="0"/>
          <w:color w:val="000000"/>
          <w:sz w:val="22"/>
          <w:szCs w:val="22"/>
          <w:lang w:val="en-GB" w:eastAsia="en-US"/>
        </w:rPr>
        <w:t>-202</w:t>
      </w:r>
      <w:r>
        <w:rPr>
          <w:rStyle w:val="Emphasis"/>
          <w:i w:val="0"/>
          <w:color w:val="000000"/>
          <w:sz w:val="22"/>
          <w:szCs w:val="22"/>
          <w:lang w:val="en-US" w:eastAsia="en-US"/>
        </w:rPr>
        <w:t>7</w:t>
      </w:r>
      <w:r>
        <w:rPr>
          <w:rStyle w:val="Emphasis"/>
          <w:i w:val="0"/>
          <w:color w:val="000000"/>
          <w:sz w:val="22"/>
          <w:szCs w:val="22"/>
          <w:lang w:val="en-GB" w:eastAsia="en-US"/>
        </w:rPr>
        <w:t>”</w:t>
      </w:r>
      <w:proofErr w:type="gramEnd"/>
    </w:p>
    <w:p w14:paraId="0C98F64E" w14:textId="77777777" w:rsidR="00153AF8" w:rsidRDefault="008774AF">
      <w:pPr>
        <w:ind w:left="709" w:hanging="349"/>
        <w:outlineLvl w:val="0"/>
        <w:rPr>
          <w:sz w:val="22"/>
          <w:szCs w:val="22"/>
          <w:lang w:val="en-GB"/>
        </w:rPr>
      </w:pPr>
      <w:r>
        <w:rPr>
          <w:rStyle w:val="Strong"/>
          <w:sz w:val="22"/>
          <w:szCs w:val="22"/>
          <w:lang w:val="en-GB"/>
        </w:rPr>
        <w:t xml:space="preserve">4. </w:t>
      </w:r>
      <w:r>
        <w:rPr>
          <w:rStyle w:val="Strong"/>
          <w:sz w:val="22"/>
          <w:szCs w:val="22"/>
          <w:lang w:val="en-GB"/>
        </w:rPr>
        <w:tab/>
        <w:t>Financing</w:t>
      </w:r>
    </w:p>
    <w:p w14:paraId="1D31A266" w14:textId="142FF747" w:rsidR="00CA792D" w:rsidRDefault="008774AF" w:rsidP="00CA792D">
      <w:pPr>
        <w:pStyle w:val="Blockquote"/>
        <w:jc w:val="both"/>
        <w:rPr>
          <w:rStyle w:val="Emphasis"/>
          <w:i w:val="0"/>
          <w:color w:val="000000"/>
          <w:sz w:val="22"/>
          <w:szCs w:val="22"/>
          <w:lang w:val="en-GB"/>
        </w:rPr>
      </w:pPr>
      <w:r>
        <w:rPr>
          <w:rStyle w:val="Emphasis"/>
          <w:i w:val="0"/>
          <w:sz w:val="22"/>
          <w:szCs w:val="22"/>
          <w:lang w:val="en-GB"/>
        </w:rPr>
        <w:t xml:space="preserve">The project is co-funded by the European Union in accordance with the rules of </w:t>
      </w:r>
      <w:r>
        <w:rPr>
          <w:rStyle w:val="Emphasis"/>
          <w:i w:val="0"/>
          <w:color w:val="000000"/>
          <w:sz w:val="22"/>
          <w:szCs w:val="22"/>
          <w:lang w:val="en-GB"/>
        </w:rPr>
        <w:t>Interreg IPA Cross-border Cooperation Programme “</w:t>
      </w:r>
      <w:r>
        <w:rPr>
          <w:rStyle w:val="Emphasis"/>
          <w:i w:val="0"/>
          <w:color w:val="000000"/>
          <w:sz w:val="22"/>
          <w:szCs w:val="22"/>
        </w:rPr>
        <w:t>Bulgaria</w:t>
      </w:r>
      <w:r>
        <w:rPr>
          <w:rStyle w:val="Emphasis"/>
          <w:i w:val="0"/>
          <w:color w:val="000000"/>
          <w:sz w:val="22"/>
          <w:szCs w:val="22"/>
          <w:lang w:val="en-GB"/>
        </w:rPr>
        <w:t xml:space="preserve"> - Republic of North Macedonia </w:t>
      </w:r>
      <w:proofErr w:type="gramStart"/>
      <w:r>
        <w:rPr>
          <w:rStyle w:val="Emphasis"/>
          <w:i w:val="0"/>
          <w:color w:val="000000"/>
          <w:sz w:val="22"/>
          <w:szCs w:val="22"/>
          <w:lang w:val="en-GB"/>
        </w:rPr>
        <w:t>20</w:t>
      </w:r>
      <w:r>
        <w:rPr>
          <w:rStyle w:val="Emphasis"/>
          <w:i w:val="0"/>
          <w:color w:val="000000"/>
          <w:sz w:val="22"/>
          <w:szCs w:val="22"/>
        </w:rPr>
        <w:t>21</w:t>
      </w:r>
      <w:r>
        <w:rPr>
          <w:rStyle w:val="Emphasis"/>
          <w:i w:val="0"/>
          <w:color w:val="000000"/>
          <w:sz w:val="22"/>
          <w:szCs w:val="22"/>
          <w:lang w:val="en-GB"/>
        </w:rPr>
        <w:t>-202</w:t>
      </w:r>
      <w:r>
        <w:rPr>
          <w:rStyle w:val="Emphasis"/>
          <w:i w:val="0"/>
          <w:color w:val="000000"/>
          <w:sz w:val="22"/>
          <w:szCs w:val="22"/>
        </w:rPr>
        <w:t>7</w:t>
      </w:r>
      <w:r>
        <w:rPr>
          <w:rStyle w:val="Emphasis"/>
          <w:i w:val="0"/>
          <w:color w:val="000000"/>
          <w:sz w:val="22"/>
          <w:szCs w:val="22"/>
          <w:lang w:val="en-GB"/>
        </w:rPr>
        <w:t>”</w:t>
      </w:r>
      <w:proofErr w:type="gramEnd"/>
      <w:r>
        <w:rPr>
          <w:rStyle w:val="Emphasis"/>
          <w:i w:val="0"/>
          <w:color w:val="000000"/>
          <w:sz w:val="22"/>
          <w:szCs w:val="22"/>
          <w:lang w:val="en-GB"/>
        </w:rPr>
        <w:t xml:space="preserve"> </w:t>
      </w:r>
    </w:p>
    <w:p w14:paraId="6B93EFB3" w14:textId="1C986399" w:rsidR="00153AF8" w:rsidRDefault="008774AF" w:rsidP="00CA792D">
      <w:pPr>
        <w:pStyle w:val="Blockquote"/>
        <w:jc w:val="both"/>
        <w:rPr>
          <w:sz w:val="22"/>
          <w:szCs w:val="22"/>
          <w:lang w:val="en-GB"/>
        </w:rPr>
      </w:pPr>
      <w:r>
        <w:rPr>
          <w:rStyle w:val="Strong"/>
          <w:sz w:val="22"/>
          <w:szCs w:val="22"/>
          <w:lang w:val="en-GB"/>
        </w:rPr>
        <w:t xml:space="preserve">5. </w:t>
      </w:r>
      <w:r>
        <w:rPr>
          <w:rStyle w:val="Strong"/>
          <w:sz w:val="22"/>
          <w:szCs w:val="22"/>
          <w:lang w:val="en-GB"/>
        </w:rPr>
        <w:tab/>
        <w:t>Contracting authority</w:t>
      </w:r>
    </w:p>
    <w:p w14:paraId="255F9F57" w14:textId="77777777" w:rsidR="00153AF8" w:rsidRDefault="008774AF">
      <w:pPr>
        <w:ind w:left="357" w:right="357"/>
        <w:jc w:val="both"/>
      </w:pPr>
      <w:r>
        <w:rPr>
          <w:rStyle w:val="Emphasis"/>
          <w:i w:val="0"/>
          <w:sz w:val="22"/>
          <w:szCs w:val="22"/>
        </w:rPr>
        <w:t>Ministry of Finance</w:t>
      </w:r>
    </w:p>
    <w:p w14:paraId="60708314" w14:textId="77777777" w:rsidR="00153AF8" w:rsidRDefault="008774AF">
      <w:pPr>
        <w:ind w:left="357" w:right="357"/>
        <w:jc w:val="both"/>
      </w:pPr>
      <w:r>
        <w:rPr>
          <w:rStyle w:val="Emphasis"/>
          <w:i w:val="0"/>
          <w:sz w:val="22"/>
          <w:szCs w:val="22"/>
        </w:rPr>
        <w:t>The Customs Administration of the Republic of North Macedonia</w:t>
      </w:r>
    </w:p>
    <w:p w14:paraId="57617220" w14:textId="4E7CA9BA" w:rsidR="00153AF8" w:rsidRDefault="008774AF">
      <w:pPr>
        <w:ind w:left="357" w:right="357"/>
        <w:jc w:val="both"/>
      </w:pPr>
      <w:r>
        <w:rPr>
          <w:rStyle w:val="Emphasis"/>
          <w:i w:val="0"/>
          <w:sz w:val="22"/>
          <w:szCs w:val="22"/>
        </w:rPr>
        <w:t xml:space="preserve">Address:  </w:t>
      </w:r>
      <w:r>
        <w:rPr>
          <w:rStyle w:val="Emphasis"/>
          <w:i w:val="0"/>
          <w:color w:val="000000"/>
          <w:sz w:val="22"/>
          <w:szCs w:val="22"/>
          <w:lang w:val="en-GB" w:eastAsia="en-GB"/>
        </w:rPr>
        <w:t xml:space="preserve">St. Lazar </w:t>
      </w:r>
      <w:proofErr w:type="spellStart"/>
      <w:r>
        <w:rPr>
          <w:rStyle w:val="Emphasis"/>
          <w:i w:val="0"/>
          <w:color w:val="000000"/>
          <w:sz w:val="22"/>
          <w:szCs w:val="22"/>
          <w:lang w:val="en-GB" w:eastAsia="en-GB"/>
        </w:rPr>
        <w:t>Lichenoski</w:t>
      </w:r>
      <w:proofErr w:type="spellEnd"/>
      <w:r>
        <w:rPr>
          <w:rStyle w:val="Emphasis"/>
          <w:i w:val="0"/>
          <w:color w:val="000000"/>
          <w:sz w:val="22"/>
          <w:szCs w:val="22"/>
          <w:lang w:val="en-GB" w:eastAsia="en-GB"/>
        </w:rPr>
        <w:t xml:space="preserve"> No. 13</w:t>
      </w:r>
      <w:r w:rsidR="00CA792D">
        <w:rPr>
          <w:rStyle w:val="Emphasis"/>
          <w:i w:val="0"/>
          <w:color w:val="000000"/>
          <w:sz w:val="22"/>
          <w:szCs w:val="22"/>
          <w:lang w:val="en-GB" w:eastAsia="en-GB"/>
        </w:rPr>
        <w:t>, 1000 Skopje</w:t>
      </w:r>
      <w:r w:rsidR="00B40696">
        <w:rPr>
          <w:rStyle w:val="Emphasis"/>
          <w:i w:val="0"/>
          <w:color w:val="000000"/>
          <w:sz w:val="22"/>
          <w:szCs w:val="22"/>
          <w:lang w:val="en-GB" w:eastAsia="en-GB"/>
        </w:rPr>
        <w:t xml:space="preserve">, </w:t>
      </w:r>
      <w:r w:rsidR="00B40696">
        <w:rPr>
          <w:rStyle w:val="Emphasis"/>
          <w:i w:val="0"/>
          <w:sz w:val="22"/>
          <w:szCs w:val="22"/>
        </w:rPr>
        <w:t>Republic of North Macedonia</w:t>
      </w:r>
    </w:p>
    <w:p w14:paraId="506429FD" w14:textId="77777777" w:rsidR="00153AF8" w:rsidRDefault="008774AF">
      <w:pPr>
        <w:rPr>
          <w:sz w:val="22"/>
          <w:szCs w:val="22"/>
          <w:lang w:val="en-GB"/>
        </w:rPr>
      </w:pPr>
      <w:r>
        <w:rPr>
          <w:noProof/>
          <w:sz w:val="22"/>
          <w:szCs w:val="22"/>
          <w:lang w:val="en-GB"/>
        </w:rPr>
        <mc:AlternateContent>
          <mc:Choice Requires="wps">
            <w:drawing>
              <wp:anchor distT="11430" distB="11430" distL="11430" distR="11430" simplePos="0" relativeHeight="2" behindDoc="0" locked="0" layoutInCell="1" allowOverlap="1" wp14:anchorId="630C2C98" wp14:editId="6517AC91">
                <wp:simplePos x="0" y="0"/>
                <wp:positionH relativeFrom="column">
                  <wp:posOffset>0</wp:posOffset>
                </wp:positionH>
                <wp:positionV relativeFrom="paragraph">
                  <wp:posOffset>152400</wp:posOffset>
                </wp:positionV>
                <wp:extent cx="5943600" cy="635"/>
                <wp:effectExtent l="11430" t="11430" r="11430" b="11430"/>
                <wp:wrapNone/>
                <wp:docPr id="1" name="Shape1"/>
                <wp:cNvGraphicFramePr/>
                <a:graphic xmlns:a="http://schemas.openxmlformats.org/drawingml/2006/main">
                  <a:graphicData uri="http://schemas.microsoft.com/office/word/2010/wordprocessingShape">
                    <wps:wsp>
                      <wps:cNvCnPr/>
                      <wps:spPr>
                        <a:xfrm>
                          <a:off x="0" y="0"/>
                          <a:ext cx="5943600" cy="720"/>
                        </a:xfrm>
                        <a:prstGeom prst="line">
                          <a:avLst/>
                        </a:prstGeom>
                        <a:ln w="22320">
                          <a:solidFill>
                            <a:srgbClr val="D4D4D4"/>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07B47F17" id="Shape1" o:spid="_x0000_s1026" style="position:absolute;z-index:2;visibility:visible;mso-wrap-style:square;mso-wrap-distance-left:.9pt;mso-wrap-distance-top:.9pt;mso-wrap-distance-right:.9pt;mso-wrap-distance-bottom:.9pt;mso-position-horizontal:absolute;mso-position-horizontal-relative:text;mso-position-vertical:absolute;mso-position-vertical-relative:tex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" strokecolor="#d4d4d4" strokeweight=".62mm"/>
            </w:pict>
          </mc:Fallback>
        </mc:AlternateContent>
      </w:r>
    </w:p>
    <w:p w14:paraId="2DABAC1F" w14:textId="77777777" w:rsidR="00153AF8" w:rsidRDefault="008774AF">
      <w:pPr>
        <w:jc w:val="center"/>
        <w:rPr>
          <w:sz w:val="28"/>
          <w:szCs w:val="28"/>
          <w:lang w:val="en-GB"/>
        </w:rPr>
      </w:pPr>
      <w:r>
        <w:rPr>
          <w:rStyle w:val="Strong"/>
          <w:sz w:val="28"/>
          <w:szCs w:val="28"/>
          <w:lang w:val="en-GB"/>
        </w:rPr>
        <w:t>CONTRACT SPECIFICATION</w:t>
      </w:r>
    </w:p>
    <w:p w14:paraId="2DF6F99B" w14:textId="77777777" w:rsidR="00153AF8" w:rsidRDefault="008774AF">
      <w:pPr>
        <w:ind w:left="709" w:hanging="349"/>
        <w:outlineLvl w:val="0"/>
        <w:rPr>
          <w:sz w:val="22"/>
          <w:szCs w:val="22"/>
          <w:lang w:val="en-GB"/>
        </w:rPr>
      </w:pPr>
      <w:r>
        <w:rPr>
          <w:rStyle w:val="Strong"/>
          <w:sz w:val="22"/>
          <w:szCs w:val="22"/>
          <w:lang w:val="en-GB"/>
        </w:rPr>
        <w:t xml:space="preserve">6. </w:t>
      </w:r>
      <w:r>
        <w:rPr>
          <w:rStyle w:val="Strong"/>
          <w:sz w:val="22"/>
          <w:szCs w:val="22"/>
          <w:lang w:val="en-GB"/>
        </w:rPr>
        <w:tab/>
        <w:t>Nature of contract</w:t>
      </w:r>
    </w:p>
    <w:p w14:paraId="76D268B3" w14:textId="77777777" w:rsidR="00153AF8" w:rsidRDefault="008774AF">
      <w:pPr>
        <w:pStyle w:val="Blockquote"/>
        <w:jc w:val="both"/>
      </w:pPr>
      <w:r>
        <w:rPr>
          <w:rStyle w:val="Emphasis"/>
          <w:i w:val="0"/>
          <w:sz w:val="22"/>
          <w:szCs w:val="22"/>
          <w:lang w:val="en-GB"/>
        </w:rPr>
        <w:t>Global price</w:t>
      </w:r>
    </w:p>
    <w:p w14:paraId="62673AD7" w14:textId="77777777" w:rsidR="00CA792D" w:rsidRDefault="00CA792D">
      <w:pPr>
        <w:ind w:left="709" w:hanging="352"/>
        <w:outlineLvl w:val="0"/>
        <w:rPr>
          <w:rStyle w:val="Strong"/>
          <w:sz w:val="22"/>
          <w:szCs w:val="22"/>
          <w:lang w:val="en-GB"/>
        </w:rPr>
      </w:pPr>
    </w:p>
    <w:p w14:paraId="0107A07B" w14:textId="6CFA8903" w:rsidR="00153AF8" w:rsidRDefault="008774AF">
      <w:pPr>
        <w:ind w:left="709" w:hanging="352"/>
        <w:outlineLvl w:val="0"/>
        <w:rPr>
          <w:sz w:val="22"/>
          <w:szCs w:val="22"/>
          <w:lang w:val="en-GB"/>
        </w:rPr>
      </w:pPr>
      <w:r>
        <w:rPr>
          <w:rStyle w:val="Strong"/>
          <w:sz w:val="22"/>
          <w:szCs w:val="22"/>
          <w:lang w:val="en-GB"/>
        </w:rPr>
        <w:t xml:space="preserve">7. </w:t>
      </w:r>
      <w:r>
        <w:rPr>
          <w:rStyle w:val="Strong"/>
          <w:sz w:val="22"/>
          <w:szCs w:val="22"/>
          <w:lang w:val="en-GB"/>
        </w:rPr>
        <w:tab/>
        <w:t>Contract description</w:t>
      </w:r>
    </w:p>
    <w:p w14:paraId="1CA42F21" w14:textId="77777777" w:rsidR="00153AF8" w:rsidRDefault="008774AF">
      <w:pPr>
        <w:ind w:left="360"/>
        <w:jc w:val="both"/>
        <w:rPr>
          <w:rStyle w:val="Emphasis"/>
          <w:i w:val="0"/>
          <w:color w:val="000000"/>
          <w:sz w:val="22"/>
          <w:szCs w:val="22"/>
          <w:lang w:val="en-GB"/>
        </w:rPr>
      </w:pPr>
      <w:r>
        <w:rPr>
          <w:rStyle w:val="Emphasis"/>
          <w:i w:val="0"/>
          <w:color w:val="000000"/>
          <w:sz w:val="22"/>
          <w:szCs w:val="22"/>
          <w:lang w:val="en-GB"/>
        </w:rPr>
        <w:t>The aim of the contract is to engage a Procurement Expert that would provide advisory services and support to the Customs Administration in the Republic of North Macedonia in implementing the procurement activities related to the Project “Establishment of a new Border Crossing Check Point “</w:t>
      </w:r>
      <w:proofErr w:type="spellStart"/>
      <w:r>
        <w:rPr>
          <w:rStyle w:val="Emphasis"/>
          <w:i w:val="0"/>
          <w:color w:val="000000"/>
          <w:sz w:val="22"/>
          <w:szCs w:val="22"/>
          <w:lang w:val="en-GB"/>
        </w:rPr>
        <w:t>Klepalo</w:t>
      </w:r>
      <w:proofErr w:type="spellEnd"/>
      <w:r>
        <w:rPr>
          <w:rStyle w:val="Emphasis"/>
          <w:i w:val="0"/>
          <w:color w:val="000000"/>
          <w:sz w:val="22"/>
          <w:szCs w:val="22"/>
          <w:lang w:val="en-GB"/>
        </w:rPr>
        <w:t xml:space="preserve">” between the Republic of North Macedonia and the Republic of Bulgaria: The primary objective of this contract is to facilitate the accomplishment of the project goal. The Procurement Expert will be responsible for preparing comprehensive tender documentation for various contract types intended for implementation within the project scope. Additionally, the expert will ensure the adherence to procurement principles throughout the process as well as to provide support to the Contracting authority in respect to Practical </w:t>
      </w:r>
      <w:r>
        <w:rPr>
          <w:rStyle w:val="Emphasis"/>
          <w:i w:val="0"/>
          <w:color w:val="172B4D"/>
          <w:sz w:val="22"/>
          <w:szCs w:val="22"/>
          <w:shd w:val="clear" w:color="auto" w:fill="FFFFFF"/>
          <w:lang w:val="en-GB"/>
        </w:rPr>
        <w:t>guide on contract procedures for European Union external action (PRAG)</w:t>
      </w:r>
      <w:r>
        <w:rPr>
          <w:rStyle w:val="Emphasis"/>
          <w:i w:val="0"/>
          <w:color w:val="000000"/>
          <w:sz w:val="22"/>
          <w:szCs w:val="22"/>
          <w:lang w:val="en-GB"/>
        </w:rPr>
        <w:t xml:space="preserve">.  </w:t>
      </w:r>
    </w:p>
    <w:p w14:paraId="4AAD148F" w14:textId="77777777" w:rsidR="00CA792D" w:rsidRDefault="00CA792D">
      <w:pPr>
        <w:ind w:left="709" w:hanging="349"/>
        <w:outlineLvl w:val="0"/>
        <w:rPr>
          <w:rStyle w:val="Emphasis"/>
          <w:b/>
          <w:bCs/>
          <w:i w:val="0"/>
          <w:color w:val="000000"/>
          <w:sz w:val="22"/>
          <w:szCs w:val="22"/>
          <w:lang w:val="en-GB"/>
        </w:rPr>
      </w:pPr>
    </w:p>
    <w:p w14:paraId="56510F99" w14:textId="0E8CCD4F" w:rsidR="00153AF8" w:rsidRDefault="008774AF">
      <w:pPr>
        <w:ind w:left="709" w:hanging="349"/>
        <w:outlineLvl w:val="0"/>
      </w:pPr>
      <w:r>
        <w:rPr>
          <w:rStyle w:val="Emphasis"/>
          <w:b/>
          <w:bCs/>
          <w:i w:val="0"/>
          <w:color w:val="000000"/>
          <w:sz w:val="22"/>
          <w:szCs w:val="22"/>
          <w:lang w:val="en-GB"/>
        </w:rPr>
        <w:t xml:space="preserve">8. </w:t>
      </w:r>
      <w:r>
        <w:rPr>
          <w:rStyle w:val="Emphasis"/>
          <w:b/>
          <w:bCs/>
          <w:i w:val="0"/>
          <w:color w:val="000000"/>
          <w:sz w:val="22"/>
          <w:szCs w:val="22"/>
          <w:lang w:val="en-GB"/>
        </w:rPr>
        <w:tab/>
        <w:t>Number and titles of lots</w:t>
      </w:r>
    </w:p>
    <w:p w14:paraId="7ED03ACB" w14:textId="77777777" w:rsidR="00153AF8" w:rsidRDefault="008774AF">
      <w:pPr>
        <w:ind w:left="709" w:hanging="349"/>
        <w:outlineLvl w:val="0"/>
      </w:pPr>
      <w:r>
        <w:rPr>
          <w:rStyle w:val="Emphasis"/>
          <w:i w:val="0"/>
          <w:sz w:val="22"/>
          <w:szCs w:val="22"/>
          <w:lang w:val="en-GB"/>
        </w:rPr>
        <w:t>One lot only</w:t>
      </w:r>
    </w:p>
    <w:p w14:paraId="156C7243" w14:textId="77777777" w:rsidR="00153AF8" w:rsidRDefault="008774AF">
      <w:pPr>
        <w:ind w:left="709" w:hanging="349"/>
        <w:outlineLvl w:val="0"/>
        <w:rPr>
          <w:rStyle w:val="Strong"/>
          <w:sz w:val="22"/>
          <w:szCs w:val="22"/>
          <w:lang w:val="en-GB"/>
        </w:rPr>
      </w:pPr>
      <w:r>
        <w:rPr>
          <w:rStyle w:val="Strong"/>
          <w:sz w:val="22"/>
          <w:szCs w:val="22"/>
          <w:lang w:val="en-GB"/>
        </w:rPr>
        <w:lastRenderedPageBreak/>
        <w:t xml:space="preserve">9. </w:t>
      </w:r>
      <w:r>
        <w:rPr>
          <w:rStyle w:val="Strong"/>
          <w:sz w:val="22"/>
          <w:szCs w:val="22"/>
          <w:lang w:val="en-GB"/>
        </w:rPr>
        <w:tab/>
        <w:t>Maximum budget</w:t>
      </w:r>
    </w:p>
    <w:p w14:paraId="7C683932" w14:textId="77777777" w:rsidR="00153AF8" w:rsidRDefault="008774AF">
      <w:pPr>
        <w:ind w:left="709" w:hanging="349"/>
        <w:outlineLvl w:val="0"/>
      </w:pPr>
      <w:r>
        <w:rPr>
          <w:rStyle w:val="Strong"/>
          <w:b w:val="0"/>
          <w:sz w:val="22"/>
          <w:szCs w:val="22"/>
        </w:rPr>
        <w:t>10.000 EUR</w:t>
      </w:r>
    </w:p>
    <w:p w14:paraId="45673098" w14:textId="77777777" w:rsidR="00153AF8" w:rsidRDefault="008774AF">
      <w:pPr>
        <w:pStyle w:val="Blockquote"/>
        <w:jc w:val="both"/>
        <w:rPr>
          <w:sz w:val="22"/>
          <w:szCs w:val="22"/>
          <w:lang w:val="en-GB"/>
        </w:rPr>
      </w:pPr>
      <w:r>
        <w:rPr>
          <w:noProof/>
          <w:sz w:val="22"/>
          <w:szCs w:val="22"/>
          <w:lang w:val="en-GB"/>
        </w:rPr>
        <mc:AlternateContent>
          <mc:Choice Requires="wps">
            <w:drawing>
              <wp:anchor distT="11430" distB="11430" distL="11430" distR="11430" simplePos="0" relativeHeight="3" behindDoc="0" locked="0" layoutInCell="1" allowOverlap="1" wp14:anchorId="58441F59" wp14:editId="48739005">
                <wp:simplePos x="0" y="0"/>
                <wp:positionH relativeFrom="column">
                  <wp:posOffset>-13335</wp:posOffset>
                </wp:positionH>
                <wp:positionV relativeFrom="paragraph">
                  <wp:posOffset>222885</wp:posOffset>
                </wp:positionV>
                <wp:extent cx="5943600" cy="635"/>
                <wp:effectExtent l="11430" t="11430" r="11430" b="11430"/>
                <wp:wrapNone/>
                <wp:docPr id="2" name="Shape2"/>
                <wp:cNvGraphicFramePr/>
                <a:graphic xmlns:a="http://schemas.openxmlformats.org/drawingml/2006/main">
                  <a:graphicData uri="http://schemas.microsoft.com/office/word/2010/wordprocessingShape">
                    <wps:wsp>
                      <wps:cNvCnPr/>
                      <wps:spPr>
                        <a:xfrm>
                          <a:off x="0" y="0"/>
                          <a:ext cx="5943600" cy="720"/>
                        </a:xfrm>
                        <a:prstGeom prst="line">
                          <a:avLst/>
                        </a:prstGeom>
                        <a:ln w="22320">
                          <a:solidFill>
                            <a:srgbClr val="D4D4D4"/>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0A6EC651" id="Shape2" o:spid="_x0000_s1026" style="position:absolute;z-index:3;visibility:visible;mso-wrap-style:square;mso-wrap-distance-left:.9pt;mso-wrap-distance-top:.9pt;mso-wrap-distance-right:.9pt;mso-wrap-distance-bottom:.9pt;mso-position-horizontal:absolute;mso-position-horizontal-relative:text;mso-position-vertical:absolute;mso-position-vertical-relative:text"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" strokecolor="#d4d4d4" strokeweight=".62mm"/>
            </w:pict>
          </mc:Fallback>
        </mc:AlternateContent>
      </w:r>
    </w:p>
    <w:p w14:paraId="22C013C2" w14:textId="77777777" w:rsidR="00153AF8" w:rsidRDefault="008774AF">
      <w:pPr>
        <w:jc w:val="center"/>
        <w:rPr>
          <w:sz w:val="28"/>
          <w:szCs w:val="28"/>
          <w:lang w:val="en-GB"/>
        </w:rPr>
      </w:pPr>
      <w:r>
        <w:rPr>
          <w:rStyle w:val="Strong"/>
          <w:sz w:val="28"/>
          <w:szCs w:val="28"/>
          <w:lang w:val="en-GB"/>
        </w:rPr>
        <w:t>CONDITIONS OF PARTICIPATION</w:t>
      </w:r>
    </w:p>
    <w:p w14:paraId="3DC2B977" w14:textId="77777777" w:rsidR="00153AF8" w:rsidRDefault="008774AF">
      <w:pPr>
        <w:pStyle w:val="FootnoteText"/>
        <w:ind w:firstLine="426"/>
        <w:rPr>
          <w:rStyle w:val="Strong"/>
          <w:sz w:val="22"/>
          <w:szCs w:val="22"/>
          <w:lang w:val="en-GB"/>
        </w:rPr>
      </w:pPr>
      <w:r>
        <w:rPr>
          <w:rStyle w:val="Strong"/>
          <w:sz w:val="22"/>
          <w:szCs w:val="22"/>
          <w:lang w:val="en-GB"/>
        </w:rPr>
        <w:t xml:space="preserve">10. Legal basis, </w:t>
      </w:r>
      <w:proofErr w:type="gramStart"/>
      <w:r>
        <w:rPr>
          <w:rStyle w:val="Strong"/>
          <w:sz w:val="22"/>
          <w:szCs w:val="22"/>
          <w:lang w:val="en-GB"/>
        </w:rPr>
        <w:t>eligibility</w:t>
      </w:r>
      <w:proofErr w:type="gramEnd"/>
      <w:r>
        <w:rPr>
          <w:rStyle w:val="Strong"/>
          <w:sz w:val="22"/>
          <w:szCs w:val="22"/>
          <w:lang w:val="en-GB"/>
        </w:rPr>
        <w:t xml:space="preserve"> and rules of origin</w:t>
      </w:r>
    </w:p>
    <w:p w14:paraId="45FD8E3A" w14:textId="77777777" w:rsidR="00153AF8" w:rsidRDefault="008774AF">
      <w:pPr>
        <w:pStyle w:val="FootnoteText"/>
        <w:spacing w:before="280" w:after="280"/>
        <w:ind w:left="360"/>
      </w:pPr>
      <w:r>
        <w:rPr>
          <w:sz w:val="22"/>
          <w:szCs w:val="22"/>
          <w:lang w:val="en-GB"/>
        </w:rPr>
        <w:t>The legal basis of this procedure is Regulation (EU) No 2021/1529 establishing the Instrument for Pre-accession Assistance (IPA III). S</w:t>
      </w:r>
      <w:r>
        <w:rPr>
          <w:rStyle w:val="normaltextrun"/>
          <w:sz w:val="22"/>
          <w:szCs w:val="22"/>
          <w:lang w:val="en-GB"/>
        </w:rPr>
        <w:t>ee Annex A2 of the practical guide.</w:t>
      </w:r>
    </w:p>
    <w:p w14:paraId="2B462C86" w14:textId="77777777" w:rsidR="00153AF8" w:rsidRDefault="008774AF">
      <w:pPr>
        <w:pStyle w:val="paragraph"/>
        <w:spacing w:before="280" w:after="280"/>
        <w:ind w:left="360"/>
        <w:rPr>
          <w:sz w:val="22"/>
          <w:szCs w:val="22"/>
          <w:lang w:val="en-GB" w:eastAsia="en-US"/>
        </w:rPr>
      </w:pPr>
      <w:r>
        <w:rPr>
          <w:sz w:val="22"/>
          <w:szCs w:val="22"/>
          <w:lang w:val="en-GB" w:eastAsia="en-US"/>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4ABEEB15" w14:textId="77777777" w:rsidR="00153AF8" w:rsidRDefault="008774AF">
      <w:pPr>
        <w:pStyle w:val="paragraph"/>
        <w:spacing w:before="0" w:beforeAutospacing="0" w:after="0" w:afterAutospacing="0"/>
        <w:ind w:left="426"/>
        <w:jc w:val="both"/>
        <w:textAlignment w:val="baseline"/>
        <w:rPr>
          <w:rStyle w:val="eop"/>
          <w:strike/>
          <w:sz w:val="22"/>
          <w:szCs w:val="22"/>
          <w:lang w:val="en-US"/>
        </w:rPr>
      </w:pPr>
      <w:r>
        <w:rPr>
          <w:rStyle w:val="normaltextrun"/>
          <w:sz w:val="22"/>
          <w:szCs w:val="22"/>
          <w:lang w:val="en-GB" w:eastAsia="en-US"/>
        </w:rPr>
        <w:t>The legal basis of this procedure is Article 58(2) of Regulation (EU, Euratom) 2018/1046 of the European Parliament and of the Council of 18 July 2018 on the financial rules applicable to the general budget of the Union.</w:t>
      </w:r>
    </w:p>
    <w:p w14:paraId="194D50D5" w14:textId="77777777" w:rsidR="00153AF8" w:rsidRDefault="008774AF">
      <w:pPr>
        <w:pStyle w:val="paragraph"/>
        <w:spacing w:before="280" w:after="280"/>
        <w:ind w:left="449"/>
        <w:rPr>
          <w:rStyle w:val="normaltextrun"/>
          <w:sz w:val="22"/>
          <w:szCs w:val="22"/>
          <w:lang w:val="en-GB" w:eastAsia="en-US"/>
        </w:rPr>
      </w:pPr>
      <w:r>
        <w:rPr>
          <w:rStyle w:val="normaltextrun"/>
          <w:sz w:val="22"/>
          <w:szCs w:val="22"/>
          <w:lang w:val="en-GB" w:eastAsia="en-US"/>
        </w:rPr>
        <w:t xml:space="preserve">Participation in this procurement procedure is open on equal terms to all natural and legal persons falling within the scope of the Treaties. </w:t>
      </w:r>
    </w:p>
    <w:p w14:paraId="4622CACE" w14:textId="77777777" w:rsidR="00153AF8" w:rsidRDefault="008774AF">
      <w:pPr>
        <w:pStyle w:val="paragraph"/>
        <w:spacing w:before="280" w:after="280"/>
        <w:ind w:left="709" w:hanging="349"/>
        <w:outlineLvl w:val="0"/>
        <w:rPr>
          <w:sz w:val="22"/>
          <w:szCs w:val="22"/>
          <w:lang w:val="en-GB"/>
        </w:rPr>
      </w:pPr>
      <w:bookmarkStart w:id="0" w:name="_DV_M238"/>
      <w:bookmarkStart w:id="1" w:name="_DV_M237"/>
      <w:bookmarkStart w:id="2" w:name="_DV_M236"/>
      <w:bookmarkStart w:id="3" w:name="_DV_M235"/>
      <w:bookmarkStart w:id="4" w:name="_DV_M234"/>
      <w:bookmarkStart w:id="5" w:name="_DV_M233"/>
      <w:bookmarkStart w:id="6" w:name="_DV_M232"/>
      <w:bookmarkStart w:id="7" w:name="_DV_M231"/>
      <w:bookmarkStart w:id="8" w:name="_DV_M229"/>
      <w:bookmarkStart w:id="9" w:name="_DV_M227"/>
      <w:bookmarkStart w:id="10" w:name="_DV_M226"/>
      <w:bookmarkStart w:id="11" w:name="_DV_M225"/>
      <w:bookmarkStart w:id="12" w:name="_DV_M224"/>
      <w:bookmarkStart w:id="13" w:name="_DV_M201"/>
      <w:bookmarkEnd w:id="0"/>
      <w:bookmarkEnd w:id="1"/>
      <w:bookmarkEnd w:id="2"/>
      <w:bookmarkEnd w:id="3"/>
      <w:bookmarkEnd w:id="4"/>
      <w:bookmarkEnd w:id="5"/>
      <w:bookmarkEnd w:id="6"/>
      <w:bookmarkEnd w:id="7"/>
      <w:bookmarkEnd w:id="8"/>
      <w:bookmarkEnd w:id="9"/>
      <w:bookmarkEnd w:id="10"/>
      <w:bookmarkEnd w:id="11"/>
      <w:bookmarkEnd w:id="12"/>
      <w:bookmarkEnd w:id="13"/>
      <w:r>
        <w:rPr>
          <w:rStyle w:val="Strong"/>
          <w:sz w:val="22"/>
          <w:szCs w:val="22"/>
          <w:lang w:val="en-GB"/>
        </w:rPr>
        <w:t xml:space="preserve">11. </w:t>
      </w:r>
      <w:r>
        <w:rPr>
          <w:rStyle w:val="Strong"/>
          <w:sz w:val="22"/>
          <w:szCs w:val="22"/>
          <w:lang w:val="en-GB"/>
        </w:rPr>
        <w:tab/>
        <w:t>Number of tenders</w:t>
      </w:r>
    </w:p>
    <w:p w14:paraId="3FCB08FE" w14:textId="77777777" w:rsidR="00153AF8" w:rsidRDefault="008774AF">
      <w:pPr>
        <w:pStyle w:val="Blockquote"/>
        <w:jc w:val="both"/>
        <w:rPr>
          <w:sz w:val="22"/>
          <w:szCs w:val="22"/>
          <w:lang w:val="en-GB"/>
        </w:rPr>
      </w:pPr>
      <w:r>
        <w:rPr>
          <w:sz w:val="22"/>
          <w:szCs w:val="22"/>
          <w:lang w:val="en-GB"/>
        </w:rPr>
        <w:t xml:space="preserve">No more than one tender can be submitted by a natural or legal person whatever the form of participation (as an individual legal entity or as leader or member of a consortium submitting a tender).  </w:t>
      </w:r>
      <w:proofErr w:type="gramStart"/>
      <w:r>
        <w:rPr>
          <w:sz w:val="22"/>
          <w:szCs w:val="22"/>
          <w:lang w:val="en-GB"/>
        </w:rPr>
        <w:t>In the event that</w:t>
      </w:r>
      <w:proofErr w:type="gramEnd"/>
      <w:r>
        <w:rPr>
          <w:sz w:val="22"/>
          <w:szCs w:val="22"/>
          <w:lang w:val="en-GB"/>
        </w:rPr>
        <w:t xml:space="preserve"> a natural or legal person submits more than one tender, all tenders in which that person has participated will be excluded.</w:t>
      </w:r>
    </w:p>
    <w:p w14:paraId="6B24CF0A" w14:textId="77777777" w:rsidR="00153AF8" w:rsidRDefault="00153AF8">
      <w:pPr>
        <w:pStyle w:val="Blockquote"/>
        <w:jc w:val="both"/>
        <w:rPr>
          <w:sz w:val="22"/>
          <w:szCs w:val="22"/>
          <w:highlight w:val="lightGray"/>
          <w:lang w:val="en-GB"/>
        </w:rPr>
      </w:pPr>
    </w:p>
    <w:p w14:paraId="7E279982" w14:textId="77777777" w:rsidR="00153AF8" w:rsidRDefault="008774AF">
      <w:pPr>
        <w:ind w:left="709" w:hanging="349"/>
        <w:outlineLvl w:val="0"/>
        <w:rPr>
          <w:sz w:val="22"/>
          <w:szCs w:val="22"/>
          <w:lang w:val="en-GB"/>
        </w:rPr>
      </w:pPr>
      <w:r>
        <w:rPr>
          <w:rStyle w:val="Strong"/>
          <w:sz w:val="22"/>
          <w:szCs w:val="22"/>
          <w:lang w:val="en-GB"/>
        </w:rPr>
        <w:t xml:space="preserve">12. </w:t>
      </w:r>
      <w:r>
        <w:rPr>
          <w:rStyle w:val="Strong"/>
          <w:sz w:val="22"/>
          <w:szCs w:val="22"/>
          <w:lang w:val="en-GB"/>
        </w:rPr>
        <w:tab/>
        <w:t>Grounds for exclusion</w:t>
      </w:r>
    </w:p>
    <w:p w14:paraId="5038F933" w14:textId="77777777" w:rsidR="00153AF8" w:rsidRDefault="008774AF">
      <w:pPr>
        <w:pStyle w:val="Blockquote"/>
        <w:jc w:val="both"/>
        <w:rPr>
          <w:sz w:val="22"/>
          <w:szCs w:val="22"/>
          <w:lang w:val="en-GB"/>
        </w:rPr>
      </w:pPr>
      <w:r>
        <w:rPr>
          <w:sz w:val="22"/>
          <w:szCs w:val="22"/>
          <w:lang w:val="en-GB"/>
        </w:rPr>
        <w:t xml:space="preserve">As part of the tender, tenderers must submit a signed declaration, included in the tender form, to the effect that they are not in any of the exclusion situations listed in Section 2.6.10.1. of the practical guide. </w:t>
      </w:r>
    </w:p>
    <w:p w14:paraId="34BD05CD" w14:textId="77777777" w:rsidR="00153AF8" w:rsidRDefault="008774AF">
      <w:pPr>
        <w:pStyle w:val="Blockquote"/>
        <w:jc w:val="both"/>
        <w:rPr>
          <w:sz w:val="22"/>
          <w:szCs w:val="22"/>
          <w:lang w:val="en-GB"/>
        </w:rPr>
      </w:pPr>
      <w:r>
        <w:rPr>
          <w:sz w:val="22"/>
          <w:szCs w:val="22"/>
          <w:lang w:val="en-GB"/>
        </w:rPr>
        <w:t xml:space="preserve">Tenderer included in the lists of EU restrictive measures (see Section 2.4. of the PRAG) </w:t>
      </w:r>
      <w:proofErr w:type="gramStart"/>
      <w:r>
        <w:rPr>
          <w:sz w:val="22"/>
          <w:szCs w:val="22"/>
          <w:lang w:val="en-GB"/>
        </w:rPr>
        <w:t>at the moment</w:t>
      </w:r>
      <w:proofErr w:type="gramEnd"/>
      <w:r>
        <w:rPr>
          <w:sz w:val="22"/>
          <w:szCs w:val="22"/>
          <w:lang w:val="en-GB"/>
        </w:rPr>
        <w:t xml:space="preserve"> of the award decision cannot be awarded the contract. </w:t>
      </w:r>
    </w:p>
    <w:p w14:paraId="69C10EE9" w14:textId="77777777" w:rsidR="00CA792D" w:rsidRDefault="00CA792D">
      <w:pPr>
        <w:pStyle w:val="Blockquote"/>
        <w:jc w:val="both"/>
        <w:rPr>
          <w:sz w:val="22"/>
          <w:szCs w:val="22"/>
          <w:lang w:val="en-GB"/>
        </w:rPr>
      </w:pPr>
    </w:p>
    <w:p w14:paraId="52944F01" w14:textId="77777777" w:rsidR="00153AF8" w:rsidRDefault="008774AF">
      <w:pPr>
        <w:ind w:left="709" w:hanging="349"/>
        <w:outlineLvl w:val="0"/>
        <w:rPr>
          <w:sz w:val="22"/>
          <w:szCs w:val="22"/>
          <w:lang w:val="en-GB"/>
        </w:rPr>
      </w:pPr>
      <w:r>
        <w:rPr>
          <w:rStyle w:val="Strong"/>
          <w:sz w:val="22"/>
          <w:szCs w:val="22"/>
          <w:lang w:val="en-GB"/>
        </w:rPr>
        <w:t xml:space="preserve">13. </w:t>
      </w:r>
      <w:r>
        <w:rPr>
          <w:rStyle w:val="Strong"/>
          <w:sz w:val="22"/>
          <w:szCs w:val="22"/>
          <w:lang w:val="en-GB"/>
        </w:rPr>
        <w:tab/>
        <w:t>Sub-contracting</w:t>
      </w:r>
    </w:p>
    <w:p w14:paraId="1EA7C8C9" w14:textId="77777777" w:rsidR="00153AF8" w:rsidRDefault="008774AF">
      <w:pPr>
        <w:ind w:left="709" w:hanging="349"/>
        <w:outlineLvl w:val="0"/>
        <w:rPr>
          <w:rStyle w:val="Emphasis"/>
          <w:i w:val="0"/>
          <w:sz w:val="22"/>
          <w:szCs w:val="22"/>
          <w:lang w:val="en-GB"/>
        </w:rPr>
      </w:pPr>
      <w:r>
        <w:rPr>
          <w:rStyle w:val="Emphasis"/>
          <w:i w:val="0"/>
          <w:sz w:val="22"/>
          <w:szCs w:val="22"/>
          <w:lang w:val="en-GB"/>
        </w:rPr>
        <w:t>Subcontracting is allowed.</w:t>
      </w:r>
    </w:p>
    <w:p w14:paraId="25CE7E52" w14:textId="77777777" w:rsidR="00153AF8" w:rsidRDefault="008774AF">
      <w:pPr>
        <w:keepNext/>
        <w:jc w:val="center"/>
        <w:rPr>
          <w:sz w:val="28"/>
          <w:szCs w:val="28"/>
          <w:lang w:val="en-GB"/>
        </w:rPr>
      </w:pPr>
      <w:r>
        <w:rPr>
          <w:noProof/>
        </w:rPr>
        <mc:AlternateContent>
          <mc:Choice Requires="wps">
            <w:drawing>
              <wp:anchor distT="11430" distB="11430" distL="11430" distR="11430" simplePos="0" relativeHeight="4" behindDoc="0" locked="0" layoutInCell="1" allowOverlap="1" wp14:anchorId="1468DEDE" wp14:editId="163AB654">
                <wp:simplePos x="0" y="0"/>
                <wp:positionH relativeFrom="column">
                  <wp:posOffset>19050</wp:posOffset>
                </wp:positionH>
                <wp:positionV relativeFrom="paragraph">
                  <wp:posOffset>26035</wp:posOffset>
                </wp:positionV>
                <wp:extent cx="5943600" cy="635"/>
                <wp:effectExtent l="11430" t="11430" r="11430" b="11430"/>
                <wp:wrapNone/>
                <wp:docPr id="3" name="Shape3"/>
                <wp:cNvGraphicFramePr/>
                <a:graphic xmlns:a="http://schemas.openxmlformats.org/drawingml/2006/main">
                  <a:graphicData uri="http://schemas.microsoft.com/office/word/2010/wordprocessingShape">
                    <wps:wsp>
                      <wps:cNvCnPr/>
                      <wps:spPr>
                        <a:xfrm>
                          <a:off x="0" y="0"/>
                          <a:ext cx="5943600" cy="720"/>
                        </a:xfrm>
                        <a:prstGeom prst="line">
                          <a:avLst/>
                        </a:prstGeom>
                        <a:ln w="22320">
                          <a:solidFill>
                            <a:srgbClr val="D4D4D4"/>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6D7AF915" id="Shape3" o:spid="_x0000_s1026" style="position:absolute;z-index:4;visibility:visible;mso-wrap-style:square;mso-wrap-distance-left:.9pt;mso-wrap-distance-top:.9pt;mso-wrap-distance-right:.9pt;mso-wrap-distance-bottom:.9pt;mso-position-horizontal:absolute;mso-position-horizontal-relative:text;mso-position-vertical:absolute;mso-position-vertical-relative:text"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" strokecolor="#d4d4d4" strokeweight=".62mm"/>
            </w:pict>
          </mc:Fallback>
        </mc:AlternateContent>
      </w:r>
      <w:r>
        <w:rPr>
          <w:rStyle w:val="Strong"/>
          <w:sz w:val="28"/>
          <w:szCs w:val="28"/>
          <w:lang w:val="en-GB"/>
        </w:rPr>
        <w:t>PROVISIONAL TIMETABLE</w:t>
      </w:r>
    </w:p>
    <w:p w14:paraId="7DD0C536" w14:textId="77777777" w:rsidR="00153AF8" w:rsidRDefault="008774AF">
      <w:pPr>
        <w:ind w:left="709" w:hanging="349"/>
        <w:outlineLvl w:val="0"/>
        <w:rPr>
          <w:sz w:val="22"/>
          <w:szCs w:val="22"/>
          <w:lang w:val="en-GB"/>
        </w:rPr>
      </w:pPr>
      <w:r>
        <w:rPr>
          <w:rStyle w:val="Strong"/>
          <w:sz w:val="22"/>
          <w:szCs w:val="22"/>
          <w:lang w:val="en-GB"/>
        </w:rPr>
        <w:t xml:space="preserve">14. </w:t>
      </w:r>
      <w:r>
        <w:rPr>
          <w:rStyle w:val="Strong"/>
          <w:sz w:val="22"/>
          <w:szCs w:val="22"/>
          <w:lang w:val="en-GB"/>
        </w:rPr>
        <w:tab/>
        <w:t>Provisional commencement date of the contract</w:t>
      </w:r>
    </w:p>
    <w:p w14:paraId="4D2A9603" w14:textId="49C33FBA" w:rsidR="00153AF8" w:rsidRDefault="00CA792D">
      <w:pPr>
        <w:pStyle w:val="Blockquote"/>
        <w:jc w:val="both"/>
        <w:rPr>
          <w:i/>
          <w:sz w:val="22"/>
          <w:szCs w:val="22"/>
          <w:lang w:val="en-GB"/>
        </w:rPr>
      </w:pPr>
      <w:r>
        <w:rPr>
          <w:rStyle w:val="Emphasis"/>
          <w:i w:val="0"/>
          <w:sz w:val="22"/>
          <w:szCs w:val="22"/>
          <w:lang w:val="en-GB"/>
        </w:rPr>
        <w:t>May</w:t>
      </w:r>
      <w:r w:rsidR="008774AF">
        <w:rPr>
          <w:rStyle w:val="Emphasis"/>
          <w:i w:val="0"/>
          <w:sz w:val="22"/>
          <w:szCs w:val="22"/>
          <w:lang w:val="en-GB"/>
        </w:rPr>
        <w:t xml:space="preserve"> 2024</w:t>
      </w:r>
    </w:p>
    <w:p w14:paraId="75C9D26B" w14:textId="77777777" w:rsidR="00153AF8" w:rsidRDefault="008774AF">
      <w:pPr>
        <w:ind w:left="709" w:hanging="349"/>
        <w:outlineLvl w:val="0"/>
        <w:rPr>
          <w:sz w:val="22"/>
          <w:szCs w:val="22"/>
          <w:lang w:val="en-GB"/>
        </w:rPr>
      </w:pPr>
      <w:r>
        <w:rPr>
          <w:rStyle w:val="Strong"/>
          <w:sz w:val="22"/>
          <w:szCs w:val="22"/>
          <w:lang w:val="en-GB"/>
        </w:rPr>
        <w:t xml:space="preserve">15. </w:t>
      </w:r>
      <w:r>
        <w:rPr>
          <w:rStyle w:val="Strong"/>
          <w:sz w:val="22"/>
          <w:szCs w:val="22"/>
          <w:lang w:val="en-GB"/>
        </w:rPr>
        <w:tab/>
        <w:t xml:space="preserve">Implementation period of the tasks </w:t>
      </w:r>
    </w:p>
    <w:p w14:paraId="5A9A5133" w14:textId="520B1CEA" w:rsidR="00153AF8" w:rsidRDefault="008774AF">
      <w:pPr>
        <w:pStyle w:val="Blockquote"/>
        <w:jc w:val="both"/>
        <w:rPr>
          <w:i/>
          <w:sz w:val="22"/>
          <w:szCs w:val="22"/>
          <w:lang w:val="en-GB"/>
        </w:rPr>
      </w:pPr>
      <w:r>
        <w:rPr>
          <w:rStyle w:val="Emphasis"/>
          <w:i w:val="0"/>
          <w:sz w:val="22"/>
          <w:szCs w:val="22"/>
          <w:lang w:val="en-GB"/>
        </w:rPr>
        <w:t>4</w:t>
      </w:r>
      <w:r w:rsidR="003344E7">
        <w:rPr>
          <w:rStyle w:val="Emphasis"/>
          <w:i w:val="0"/>
          <w:sz w:val="22"/>
          <w:szCs w:val="22"/>
          <w:lang w:val="en-GB"/>
        </w:rPr>
        <w:t>2</w:t>
      </w:r>
      <w:r>
        <w:rPr>
          <w:rStyle w:val="Emphasis"/>
          <w:i w:val="0"/>
          <w:sz w:val="22"/>
          <w:szCs w:val="22"/>
          <w:lang w:val="en-GB"/>
        </w:rPr>
        <w:t xml:space="preserve"> months </w:t>
      </w:r>
    </w:p>
    <w:p w14:paraId="6D29F4F4" w14:textId="77777777" w:rsidR="00153AF8" w:rsidRDefault="008774AF">
      <w:pPr>
        <w:rPr>
          <w:sz w:val="22"/>
          <w:szCs w:val="22"/>
          <w:lang w:val="en-GB"/>
        </w:rPr>
      </w:pPr>
      <w:r>
        <w:rPr>
          <w:noProof/>
          <w:sz w:val="22"/>
          <w:szCs w:val="22"/>
          <w:lang w:val="en-GB"/>
        </w:rPr>
        <mc:AlternateContent>
          <mc:Choice Requires="wps">
            <w:drawing>
              <wp:anchor distT="11430" distB="11430" distL="11430" distR="11430" simplePos="0" relativeHeight="5" behindDoc="0" locked="0" layoutInCell="1" allowOverlap="1" wp14:anchorId="65717986" wp14:editId="4D4FEEAF">
                <wp:simplePos x="0" y="0"/>
                <wp:positionH relativeFrom="column">
                  <wp:posOffset>0</wp:posOffset>
                </wp:positionH>
                <wp:positionV relativeFrom="paragraph">
                  <wp:posOffset>152400</wp:posOffset>
                </wp:positionV>
                <wp:extent cx="5943600" cy="635"/>
                <wp:effectExtent l="11430" t="11430" r="11430" b="11430"/>
                <wp:wrapNone/>
                <wp:docPr id="4" name="Shape4"/>
                <wp:cNvGraphicFramePr/>
                <a:graphic xmlns:a="http://schemas.openxmlformats.org/drawingml/2006/main">
                  <a:graphicData uri="http://schemas.microsoft.com/office/word/2010/wordprocessingShape">
                    <wps:wsp>
                      <wps:cNvCnPr/>
                      <wps:spPr>
                        <a:xfrm>
                          <a:off x="0" y="0"/>
                          <a:ext cx="5943600" cy="720"/>
                        </a:xfrm>
                        <a:prstGeom prst="line">
                          <a:avLst/>
                        </a:prstGeom>
                        <a:ln w="22320">
                          <a:solidFill>
                            <a:srgbClr val="D4D4D4"/>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967A067" id="Shape4" o:spid="_x0000_s1026" style="position:absolute;z-index:5;visibility:visible;mso-wrap-style:square;mso-wrap-distance-left:.9pt;mso-wrap-distance-top:.9pt;mso-wrap-distance-right:.9pt;mso-wrap-distance-bottom:.9pt;mso-position-horizontal:absolute;mso-position-horizontal-relative:text;mso-position-vertical:absolute;mso-position-vertical-relative:tex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" strokecolor="#d4d4d4" strokeweight=".62mm"/>
            </w:pict>
          </mc:Fallback>
        </mc:AlternateContent>
      </w:r>
    </w:p>
    <w:p w14:paraId="7DA73643" w14:textId="77777777" w:rsidR="00153AF8" w:rsidRDefault="008774AF">
      <w:pPr>
        <w:jc w:val="center"/>
        <w:rPr>
          <w:sz w:val="28"/>
          <w:szCs w:val="28"/>
          <w:lang w:val="en-GB"/>
        </w:rPr>
      </w:pPr>
      <w:r>
        <w:rPr>
          <w:rStyle w:val="Strong"/>
          <w:sz w:val="28"/>
          <w:szCs w:val="28"/>
          <w:lang w:val="en-GB"/>
        </w:rPr>
        <w:lastRenderedPageBreak/>
        <w:t>SELECTION AND AWARD CRITERIA</w:t>
      </w:r>
    </w:p>
    <w:p w14:paraId="12D9B1D6" w14:textId="77777777" w:rsidR="00153AF8" w:rsidRDefault="008774AF">
      <w:pPr>
        <w:ind w:left="709" w:hanging="349"/>
        <w:outlineLvl w:val="0"/>
        <w:rPr>
          <w:rStyle w:val="Strong"/>
          <w:sz w:val="22"/>
          <w:szCs w:val="22"/>
          <w:lang w:val="en-GB"/>
        </w:rPr>
      </w:pPr>
      <w:r>
        <w:rPr>
          <w:rStyle w:val="Strong"/>
          <w:sz w:val="22"/>
          <w:szCs w:val="22"/>
          <w:lang w:val="en-GB"/>
        </w:rPr>
        <w:t xml:space="preserve">16. </w:t>
      </w:r>
      <w:r>
        <w:rPr>
          <w:rStyle w:val="Strong"/>
          <w:sz w:val="22"/>
          <w:szCs w:val="22"/>
          <w:lang w:val="en-GB"/>
        </w:rPr>
        <w:tab/>
        <w:t>Selection criteria</w:t>
      </w:r>
    </w:p>
    <w:p w14:paraId="44881E35" w14:textId="77777777" w:rsidR="00153AF8" w:rsidRDefault="008774AF">
      <w:pPr>
        <w:widowControl/>
        <w:spacing w:before="240" w:after="0"/>
        <w:ind w:left="426"/>
        <w:jc w:val="both"/>
        <w:rPr>
          <w:sz w:val="22"/>
          <w:szCs w:val="22"/>
          <w:lang w:val="en-GB"/>
        </w:rPr>
      </w:pPr>
      <w:r>
        <w:rPr>
          <w:sz w:val="22"/>
          <w:szCs w:val="22"/>
          <w:lang w:val="en-GB"/>
        </w:rPr>
        <w:t>Capacity-providing entities</w:t>
      </w:r>
    </w:p>
    <w:p w14:paraId="34FBAB53" w14:textId="77777777" w:rsidR="00153AF8" w:rsidRDefault="008774AF">
      <w:pPr>
        <w:widowControl/>
        <w:spacing w:before="240" w:after="0"/>
        <w:ind w:left="426"/>
        <w:jc w:val="both"/>
        <w:rPr>
          <w:sz w:val="22"/>
          <w:szCs w:val="22"/>
          <w:lang w:val="en-GB"/>
        </w:rPr>
      </w:pPr>
      <w:r>
        <w:rPr>
          <w:sz w:val="22"/>
          <w:szCs w:val="22"/>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lang w:val="en-GB"/>
        </w:rPr>
        <w:t>Furthermore, the data for this third entity for the relevant selection criterion should be included in a separate document</w:t>
      </w:r>
      <w:r>
        <w:rPr>
          <w:sz w:val="22"/>
          <w:szCs w:val="22"/>
          <w:lang w:val="en-GB"/>
        </w:rPr>
        <w:t>. Proof of the capacity will also have to be provided when requested by the contracting authority.</w:t>
      </w:r>
    </w:p>
    <w:p w14:paraId="35E8615A" w14:textId="77777777" w:rsidR="00153AF8" w:rsidRDefault="008774AF">
      <w:pPr>
        <w:widowControl/>
        <w:spacing w:before="240" w:after="0"/>
        <w:ind w:left="426"/>
        <w:jc w:val="both"/>
        <w:rPr>
          <w:sz w:val="22"/>
          <w:szCs w:val="22"/>
          <w:lang w:val="en-GB"/>
        </w:rPr>
      </w:pPr>
      <w:proofErr w:type="gramStart"/>
      <w:r>
        <w:rPr>
          <w:sz w:val="22"/>
          <w:szCs w:val="22"/>
          <w:lang w:val="en-GB"/>
        </w:rPr>
        <w:t>With regard to</w:t>
      </w:r>
      <w:proofErr w:type="gramEnd"/>
      <w:r>
        <w:rPr>
          <w:sz w:val="22"/>
          <w:szCs w:val="22"/>
          <w:lang w:val="en-GB"/>
        </w:rPr>
        <w:t xml:space="preserve"> technical and professional criteria, an economic operator may only rely on the capacities of other entities where the latter will perform the tasks for which these capacities are required. </w:t>
      </w:r>
    </w:p>
    <w:p w14:paraId="2EEB7723" w14:textId="77777777" w:rsidR="00153AF8" w:rsidRDefault="008774AF">
      <w:pPr>
        <w:widowControl/>
        <w:spacing w:before="240" w:after="0"/>
        <w:ind w:left="426"/>
        <w:jc w:val="both"/>
        <w:rPr>
          <w:sz w:val="22"/>
          <w:szCs w:val="22"/>
          <w:highlight w:val="yellow"/>
          <w:lang w:val="en-GB"/>
        </w:rPr>
      </w:pPr>
      <w:proofErr w:type="gramStart"/>
      <w:r>
        <w:rPr>
          <w:sz w:val="22"/>
          <w:szCs w:val="22"/>
          <w:lang w:val="en-GB"/>
        </w:rPr>
        <w:t>With regard to</w:t>
      </w:r>
      <w:proofErr w:type="gramEnd"/>
      <w:r>
        <w:rPr>
          <w:sz w:val="22"/>
          <w:szCs w:val="22"/>
          <w:lang w:val="en-GB"/>
        </w:rPr>
        <w:t xml:space="preserve"> economic and financial criteria, the entities upon whose capacity the economic operator relies, become jointly and severally liable for the performance of the contract.</w:t>
      </w:r>
    </w:p>
    <w:p w14:paraId="1A465175" w14:textId="77777777" w:rsidR="00153AF8" w:rsidRDefault="008774AF">
      <w:pPr>
        <w:pStyle w:val="Blockquote"/>
        <w:jc w:val="both"/>
        <w:rPr>
          <w:sz w:val="22"/>
          <w:szCs w:val="22"/>
          <w:lang w:val="en-GB"/>
        </w:rPr>
      </w:pPr>
      <w:r>
        <w:rPr>
          <w:sz w:val="22"/>
          <w:szCs w:val="22"/>
          <w:lang w:val="en-GB"/>
        </w:rPr>
        <w:t xml:space="preserve">The following selection criteria will be applied to the tenderers. In the case of tenders submitted by a consortium, these selection criteria will be applied to the consortium </w:t>
      </w:r>
      <w:proofErr w:type="gramStart"/>
      <w:r>
        <w:rPr>
          <w:sz w:val="22"/>
          <w:szCs w:val="22"/>
          <w:lang w:val="en-GB"/>
        </w:rPr>
        <w:t>as a whole if</w:t>
      </w:r>
      <w:proofErr w:type="gramEnd"/>
      <w:r>
        <w:rPr>
          <w:sz w:val="22"/>
          <w:szCs w:val="22"/>
          <w:lang w:val="en-GB"/>
        </w:rPr>
        <w:t xml:space="preserve"> not specified otherwise. The selection criteria will not be applied to natural persons and single-member companies when they are sub-contractors.</w:t>
      </w:r>
    </w:p>
    <w:p w14:paraId="16AFC3E2" w14:textId="77777777" w:rsidR="00153AF8" w:rsidRDefault="008774AF">
      <w:pPr>
        <w:pStyle w:val="Blockquote"/>
        <w:jc w:val="both"/>
      </w:pPr>
      <w:r>
        <w:rPr>
          <w:sz w:val="22"/>
          <w:szCs w:val="22"/>
          <w:lang w:val="en-GB"/>
        </w:rPr>
        <w:t>The tenderer</w:t>
      </w:r>
      <w:r>
        <w:rPr>
          <w:sz w:val="22"/>
          <w:szCs w:val="22"/>
          <w:lang w:val="en-IE"/>
        </w:rPr>
        <w:t xml:space="preserve"> </w:t>
      </w:r>
      <w:r>
        <w:rPr>
          <w:sz w:val="22"/>
          <w:szCs w:val="22"/>
          <w:lang w:val="en-GB"/>
        </w:rPr>
        <w:t>shall not use previous experience which caused breach of contract and termination by a contracting authority as a reference for selection criteria.</w:t>
      </w:r>
    </w:p>
    <w:p w14:paraId="6FFA686D" w14:textId="77777777" w:rsidR="00153AF8" w:rsidRPr="0031089D" w:rsidRDefault="008774AF">
      <w:pPr>
        <w:ind w:firstLine="414"/>
      </w:pPr>
      <w:r>
        <w:rPr>
          <w:sz w:val="22"/>
          <w:szCs w:val="22"/>
        </w:rPr>
        <w:t xml:space="preserve">The selection criteria for </w:t>
      </w:r>
      <w:r w:rsidRPr="0031089D">
        <w:rPr>
          <w:sz w:val="22"/>
          <w:szCs w:val="22"/>
        </w:rPr>
        <w:t>each tenderer are as follows:</w:t>
      </w:r>
    </w:p>
    <w:p w14:paraId="748507B1" w14:textId="77777777" w:rsidR="00153AF8" w:rsidRPr="0042695E" w:rsidRDefault="008774AF">
      <w:pPr>
        <w:pStyle w:val="Blockquote"/>
        <w:ind w:left="641" w:right="357" w:hanging="284"/>
        <w:jc w:val="both"/>
        <w:rPr>
          <w:sz w:val="22"/>
          <w:szCs w:val="22"/>
          <w:lang w:val="en-GB"/>
        </w:rPr>
      </w:pPr>
      <w:r w:rsidRPr="0031089D">
        <w:rPr>
          <w:b/>
          <w:sz w:val="22"/>
          <w:szCs w:val="22"/>
          <w:u w:val="single"/>
          <w:lang w:val="en-GB"/>
        </w:rPr>
        <w:t>1)</w:t>
      </w:r>
      <w:r w:rsidRPr="0031089D">
        <w:rPr>
          <w:b/>
          <w:sz w:val="22"/>
          <w:szCs w:val="22"/>
          <w:u w:val="single"/>
          <w:lang w:val="en-GB"/>
        </w:rPr>
        <w:tab/>
        <w:t xml:space="preserve">Economic </w:t>
      </w:r>
      <w:r w:rsidRPr="0042695E">
        <w:rPr>
          <w:b/>
          <w:sz w:val="22"/>
          <w:szCs w:val="22"/>
          <w:u w:val="single"/>
          <w:lang w:val="en-GB"/>
        </w:rPr>
        <w:t>and financial capacity of the tenderer</w:t>
      </w:r>
      <w:r w:rsidRPr="0042695E">
        <w:rPr>
          <w:b/>
          <w:sz w:val="22"/>
          <w:szCs w:val="22"/>
          <w:lang w:val="en-GB"/>
        </w:rPr>
        <w:t xml:space="preserve"> (</w:t>
      </w:r>
      <w:r w:rsidRPr="0042695E">
        <w:rPr>
          <w:sz w:val="22"/>
          <w:szCs w:val="22"/>
          <w:lang w:val="en-GB"/>
        </w:rPr>
        <w:t xml:space="preserve">based on item 3 of the tender form). In case of tenderer being a public body, equivalent information should be provided. The reference </w:t>
      </w:r>
      <w:r w:rsidRPr="0042695E">
        <w:rPr>
          <w:color w:val="000000"/>
          <w:sz w:val="22"/>
          <w:szCs w:val="22"/>
          <w:lang w:val="en-GB"/>
        </w:rPr>
        <w:t xml:space="preserve">period which will be </w:t>
      </w:r>
      <w:proofErr w:type="gramStart"/>
      <w:r w:rsidRPr="0042695E">
        <w:rPr>
          <w:color w:val="000000"/>
          <w:sz w:val="22"/>
          <w:szCs w:val="22"/>
          <w:lang w:val="en-GB"/>
        </w:rPr>
        <w:t>taken into account</w:t>
      </w:r>
      <w:proofErr w:type="gramEnd"/>
      <w:r w:rsidRPr="0042695E">
        <w:rPr>
          <w:color w:val="000000"/>
          <w:sz w:val="22"/>
          <w:szCs w:val="22"/>
          <w:lang w:val="en-GB"/>
        </w:rPr>
        <w:t xml:space="preserve"> will be the last three financial years for which accounts have been cl</w:t>
      </w:r>
      <w:r w:rsidRPr="002B171D">
        <w:rPr>
          <w:color w:val="000000"/>
          <w:sz w:val="22"/>
          <w:szCs w:val="22"/>
          <w:lang w:val="en-GB"/>
        </w:rPr>
        <w:t>osed.</w:t>
      </w:r>
    </w:p>
    <w:p w14:paraId="2E487E07" w14:textId="359C1960" w:rsidR="0042695E" w:rsidRDefault="0042695E" w:rsidP="002B171D">
      <w:pPr>
        <w:pStyle w:val="Blockquote"/>
        <w:ind w:right="357"/>
        <w:jc w:val="both"/>
        <w:rPr>
          <w:sz w:val="22"/>
          <w:szCs w:val="22"/>
          <w:lang w:val="en-GB"/>
        </w:rPr>
      </w:pPr>
      <w:bookmarkStart w:id="14" w:name="_Hlk160799813"/>
      <w:r>
        <w:rPr>
          <w:sz w:val="22"/>
          <w:szCs w:val="22"/>
          <w:lang w:val="en-GB"/>
        </w:rPr>
        <w:t xml:space="preserve">     </w:t>
      </w:r>
      <w:r w:rsidRPr="0042695E">
        <w:rPr>
          <w:sz w:val="22"/>
          <w:szCs w:val="22"/>
          <w:lang w:val="en-GB"/>
        </w:rPr>
        <w:t xml:space="preserve">a) the financial situation of the tenderer should not be in deficit, </w:t>
      </w:r>
      <w:proofErr w:type="gramStart"/>
      <w:r w:rsidRPr="0042695E">
        <w:rPr>
          <w:sz w:val="22"/>
          <w:szCs w:val="22"/>
          <w:lang w:val="en-GB"/>
        </w:rPr>
        <w:t>taken into account</w:t>
      </w:r>
      <w:proofErr w:type="gramEnd"/>
      <w:r w:rsidRPr="0042695E">
        <w:rPr>
          <w:sz w:val="22"/>
          <w:szCs w:val="22"/>
          <w:lang w:val="en-GB"/>
        </w:rPr>
        <w:t xml:space="preserve"> debts, at the beginning and end of the </w:t>
      </w:r>
      <w:r w:rsidR="00B40696">
        <w:rPr>
          <w:sz w:val="22"/>
          <w:szCs w:val="22"/>
          <w:lang w:val="en-GB"/>
        </w:rPr>
        <w:t xml:space="preserve">last </w:t>
      </w:r>
      <w:r w:rsidRPr="0042695E">
        <w:rPr>
          <w:sz w:val="22"/>
          <w:szCs w:val="22"/>
          <w:lang w:val="en-GB"/>
        </w:rPr>
        <w:t>year</w:t>
      </w:r>
      <w:r w:rsidR="00CA792D">
        <w:rPr>
          <w:sz w:val="22"/>
          <w:szCs w:val="22"/>
          <w:lang w:val="en-GB"/>
        </w:rPr>
        <w:t>.</w:t>
      </w:r>
    </w:p>
    <w:p w14:paraId="3631CE87" w14:textId="77777777" w:rsidR="0042695E" w:rsidRPr="0042695E" w:rsidRDefault="0042695E" w:rsidP="002B171D">
      <w:pPr>
        <w:pStyle w:val="Blockquote"/>
        <w:ind w:right="357"/>
        <w:jc w:val="both"/>
        <w:rPr>
          <w:sz w:val="22"/>
          <w:szCs w:val="22"/>
          <w:lang w:val="en-GB"/>
        </w:rPr>
      </w:pPr>
    </w:p>
    <w:p w14:paraId="730D5A18" w14:textId="77777777" w:rsidR="00153AF8" w:rsidRPr="0042695E" w:rsidRDefault="008774AF">
      <w:pPr>
        <w:pStyle w:val="Blockquote"/>
        <w:ind w:left="641" w:right="357" w:hanging="284"/>
        <w:jc w:val="both"/>
      </w:pPr>
      <w:r w:rsidRPr="0042695E">
        <w:rPr>
          <w:b/>
          <w:bCs/>
          <w:color w:val="000000"/>
          <w:sz w:val="22"/>
          <w:szCs w:val="22"/>
          <w:u w:val="single"/>
          <w:lang w:val="en-GB"/>
        </w:rPr>
        <w:t>2)</w:t>
      </w:r>
      <w:r w:rsidRPr="0042695E">
        <w:rPr>
          <w:b/>
          <w:bCs/>
          <w:color w:val="000000"/>
          <w:sz w:val="22"/>
          <w:szCs w:val="22"/>
          <w:u w:val="single"/>
          <w:lang w:val="en-GB"/>
        </w:rPr>
        <w:tab/>
        <w:t xml:space="preserve">Professional capacity of the tenderer </w:t>
      </w:r>
      <w:r w:rsidRPr="0042695E">
        <w:rPr>
          <w:color w:val="000000"/>
          <w:sz w:val="22"/>
          <w:szCs w:val="22"/>
          <w:lang w:val="en-GB"/>
        </w:rPr>
        <w:t>(based on items 4 of the tender form).</w:t>
      </w:r>
    </w:p>
    <w:bookmarkEnd w:id="14"/>
    <w:p w14:paraId="3E44CB04" w14:textId="05D27FAE" w:rsidR="00153AF8" w:rsidRDefault="008774AF">
      <w:pPr>
        <w:pStyle w:val="Blockquote"/>
        <w:numPr>
          <w:ilvl w:val="0"/>
          <w:numId w:val="3"/>
        </w:numPr>
        <w:ind w:right="357"/>
        <w:jc w:val="both"/>
        <w:rPr>
          <w:sz w:val="22"/>
          <w:szCs w:val="22"/>
          <w:lang w:val="en-GB"/>
        </w:rPr>
      </w:pPr>
      <w:r w:rsidRPr="002B171D">
        <w:rPr>
          <w:sz w:val="22"/>
          <w:szCs w:val="22"/>
        </w:rPr>
        <w:t xml:space="preserve">is currently working </w:t>
      </w:r>
      <w:r w:rsidR="00B40696">
        <w:rPr>
          <w:sz w:val="22"/>
          <w:szCs w:val="22"/>
        </w:rPr>
        <w:t xml:space="preserve">with </w:t>
      </w:r>
      <w:r w:rsidRPr="002B171D">
        <w:rPr>
          <w:sz w:val="22"/>
          <w:szCs w:val="22"/>
        </w:rPr>
        <w:t>or has worked during the past</w:t>
      </w:r>
      <w:r w:rsidRPr="0031089D">
        <w:rPr>
          <w:sz w:val="22"/>
          <w:szCs w:val="22"/>
          <w:lang w:val="en-GB"/>
        </w:rPr>
        <w:t xml:space="preserve"> 10</w:t>
      </w:r>
      <w:r w:rsidRPr="002B171D">
        <w:rPr>
          <w:sz w:val="22"/>
          <w:szCs w:val="22"/>
          <w:lang w:val="en-GB"/>
        </w:rPr>
        <w:t xml:space="preserve"> years in public administration</w:t>
      </w:r>
      <w:r w:rsidR="00B40696">
        <w:rPr>
          <w:sz w:val="22"/>
          <w:szCs w:val="22"/>
          <w:lang w:val="en-GB"/>
        </w:rPr>
        <w:t xml:space="preserve"> </w:t>
      </w:r>
      <w:r w:rsidRPr="002B171D">
        <w:rPr>
          <w:sz w:val="22"/>
          <w:szCs w:val="22"/>
          <w:lang w:val="en-GB"/>
        </w:rPr>
        <w:t xml:space="preserve">/ involved in managing projects implemented under EU PRAG rules - (EU Practical Guide to Contract </w:t>
      </w:r>
      <w:r>
        <w:rPr>
          <w:sz w:val="22"/>
          <w:szCs w:val="22"/>
          <w:lang w:val="en-GB"/>
        </w:rPr>
        <w:t>p</w:t>
      </w:r>
      <w:r w:rsidRPr="002B171D">
        <w:rPr>
          <w:sz w:val="22"/>
          <w:szCs w:val="22"/>
          <w:lang w:val="en-GB"/>
        </w:rPr>
        <w:t>rocedures for European Union External Action) financed with EU funds and/or public procurement</w:t>
      </w:r>
      <w:r w:rsidR="00CA792D">
        <w:rPr>
          <w:sz w:val="22"/>
          <w:szCs w:val="22"/>
          <w:lang w:val="en-GB"/>
        </w:rPr>
        <w:t>.</w:t>
      </w:r>
      <w:r w:rsidRPr="002B171D">
        <w:rPr>
          <w:sz w:val="22"/>
          <w:szCs w:val="22"/>
          <w:lang w:val="en-GB"/>
        </w:rPr>
        <w:t xml:space="preserve"> </w:t>
      </w:r>
    </w:p>
    <w:p w14:paraId="16EDA5A5" w14:textId="77777777" w:rsidR="00CA792D" w:rsidRDefault="00CA792D" w:rsidP="00CA792D">
      <w:pPr>
        <w:pStyle w:val="Blockquote"/>
        <w:ind w:left="1080" w:right="357"/>
        <w:jc w:val="both"/>
        <w:rPr>
          <w:sz w:val="22"/>
          <w:szCs w:val="22"/>
          <w:lang w:val="en-GB"/>
        </w:rPr>
      </w:pPr>
    </w:p>
    <w:p w14:paraId="6612CE18" w14:textId="77777777" w:rsidR="00153AF8" w:rsidRDefault="008774AF">
      <w:r>
        <w:rPr>
          <w:b/>
          <w:bCs/>
          <w:u w:val="single"/>
          <w:lang w:val="en-GB"/>
        </w:rPr>
        <w:t>3)</w:t>
      </w:r>
      <w:r>
        <w:rPr>
          <w:b/>
          <w:bCs/>
          <w:u w:val="single"/>
          <w:lang w:val="en-GB"/>
        </w:rPr>
        <w:tab/>
      </w:r>
      <w:r w:rsidRPr="002B171D">
        <w:rPr>
          <w:b/>
          <w:bCs/>
          <w:sz w:val="22"/>
          <w:szCs w:val="22"/>
          <w:u w:val="single"/>
        </w:rPr>
        <w:t>Technical capacity of tenderer</w:t>
      </w:r>
      <w:r w:rsidRPr="002B171D">
        <w:rPr>
          <w:sz w:val="22"/>
          <w:szCs w:val="22"/>
        </w:rPr>
        <w:t xml:space="preserve"> (based on items 5 and 6 of the tender form). The reference period which will be </w:t>
      </w:r>
      <w:proofErr w:type="gramStart"/>
      <w:r w:rsidRPr="002B171D">
        <w:rPr>
          <w:sz w:val="22"/>
          <w:szCs w:val="22"/>
        </w:rPr>
        <w:t>taken into account</w:t>
      </w:r>
      <w:proofErr w:type="gramEnd"/>
      <w:r w:rsidRPr="002B171D">
        <w:rPr>
          <w:sz w:val="22"/>
          <w:szCs w:val="22"/>
        </w:rPr>
        <w:t xml:space="preserve"> will be the last three years preceding the submission deadline.</w:t>
      </w:r>
    </w:p>
    <w:p w14:paraId="7A796A0C" w14:textId="77777777" w:rsidR="00153AF8" w:rsidRDefault="008774AF">
      <w:pPr>
        <w:pStyle w:val="Blockquote"/>
        <w:numPr>
          <w:ilvl w:val="0"/>
          <w:numId w:val="4"/>
        </w:numPr>
        <w:rPr>
          <w:sz w:val="22"/>
          <w:szCs w:val="22"/>
          <w:lang w:val="en-GB"/>
        </w:rPr>
      </w:pPr>
      <w:r w:rsidRPr="002B171D">
        <w:rPr>
          <w:sz w:val="22"/>
          <w:szCs w:val="22"/>
        </w:rPr>
        <w:t>the tenderer has worked on at least 1 (one) project in fields related to preparation/ reviewing Tender documentation following the PRAG rules in the past three years.</w:t>
      </w:r>
    </w:p>
    <w:p w14:paraId="1EE64DD1" w14:textId="77777777" w:rsidR="00153AF8" w:rsidRDefault="008774AF">
      <w:pPr>
        <w:pStyle w:val="Blockquote"/>
        <w:tabs>
          <w:tab w:val="left" w:pos="284"/>
        </w:tabs>
        <w:jc w:val="both"/>
        <w:rPr>
          <w:sz w:val="22"/>
          <w:szCs w:val="22"/>
          <w:lang w:val="en-GB"/>
        </w:rPr>
      </w:pPr>
      <w:r>
        <w:rPr>
          <w:sz w:val="22"/>
          <w:szCs w:val="22"/>
          <w:lang w:val="en-GB"/>
        </w:rPr>
        <w:t xml:space="preserve">This means that the service contract the tenderer refers to could have been started at any time during the indicated </w:t>
      </w:r>
      <w:proofErr w:type="gramStart"/>
      <w:r>
        <w:rPr>
          <w:sz w:val="22"/>
          <w:szCs w:val="22"/>
          <w:lang w:val="en-GB"/>
        </w:rPr>
        <w:t>period</w:t>
      </w:r>
      <w:proofErr w:type="gramEnd"/>
      <w:r>
        <w:rPr>
          <w:sz w:val="22"/>
          <w:szCs w:val="22"/>
          <w:lang w:val="en-GB"/>
        </w:rPr>
        <w:t xml:space="preserve"> but it does not necessarily have to be completed during that period, nor </w:t>
      </w:r>
      <w:r>
        <w:rPr>
          <w:sz w:val="22"/>
          <w:szCs w:val="22"/>
          <w:lang w:val="en-GB"/>
        </w:rPr>
        <w:lastRenderedPageBreak/>
        <w:t>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0443FD5B" w14:textId="77777777" w:rsidR="00153AF8" w:rsidRDefault="008774AF">
      <w:pPr>
        <w:pStyle w:val="Blockquote"/>
        <w:jc w:val="both"/>
        <w:rPr>
          <w:sz w:val="22"/>
          <w:szCs w:val="22"/>
          <w:lang w:val="en-GB"/>
        </w:rPr>
      </w:pPr>
      <w:r>
        <w:rPr>
          <w:sz w:val="22"/>
          <w:szCs w:val="22"/>
          <w:lang w:val="en-GB"/>
        </w:rPr>
        <w:t>Previous experience which would have led to breach of contract and termination by a contracting authority shall not be used as reference. This is also applicable concerning the previous experience of experts required under a fee-based service contract.</w:t>
      </w:r>
    </w:p>
    <w:p w14:paraId="3F5B48E7" w14:textId="77777777" w:rsidR="00153AF8" w:rsidRDefault="00153AF8">
      <w:pPr>
        <w:pStyle w:val="Blockquote"/>
        <w:jc w:val="both"/>
        <w:rPr>
          <w:sz w:val="22"/>
          <w:szCs w:val="22"/>
          <w:lang w:val="en-GB"/>
        </w:rPr>
      </w:pPr>
    </w:p>
    <w:p w14:paraId="2C088C47" w14:textId="77777777" w:rsidR="00153AF8" w:rsidRDefault="008774AF">
      <w:pPr>
        <w:ind w:left="709" w:hanging="349"/>
        <w:outlineLvl w:val="0"/>
        <w:rPr>
          <w:sz w:val="22"/>
          <w:szCs w:val="22"/>
          <w:lang w:val="en-GB"/>
        </w:rPr>
      </w:pPr>
      <w:r>
        <w:rPr>
          <w:rStyle w:val="Strong"/>
          <w:sz w:val="22"/>
          <w:szCs w:val="22"/>
          <w:lang w:val="en-GB"/>
        </w:rPr>
        <w:t xml:space="preserve">17. </w:t>
      </w:r>
      <w:r>
        <w:rPr>
          <w:rStyle w:val="Strong"/>
          <w:sz w:val="22"/>
          <w:szCs w:val="22"/>
          <w:lang w:val="en-GB"/>
        </w:rPr>
        <w:tab/>
        <w:t>Award criteria</w:t>
      </w:r>
    </w:p>
    <w:p w14:paraId="42C6AA9F" w14:textId="4928A39E" w:rsidR="00153AF8" w:rsidRDefault="008774AF" w:rsidP="00CA792D">
      <w:pPr>
        <w:pStyle w:val="Blockquote"/>
        <w:ind w:right="1"/>
        <w:jc w:val="both"/>
        <w:rPr>
          <w:sz w:val="22"/>
          <w:szCs w:val="22"/>
          <w:lang w:val="en-GB"/>
        </w:rPr>
      </w:pPr>
      <w:r>
        <w:rPr>
          <w:sz w:val="22"/>
          <w:szCs w:val="22"/>
          <w:lang w:val="en-GB"/>
        </w:rPr>
        <w:t xml:space="preserve">Best </w:t>
      </w:r>
      <w:r>
        <w:rPr>
          <w:lang w:val="en-GB"/>
        </w:rPr>
        <w:t>price-quality ratio.</w:t>
      </w:r>
    </w:p>
    <w:p w14:paraId="5A8C75AB" w14:textId="77777777" w:rsidR="00153AF8" w:rsidRDefault="008774AF">
      <w:pPr>
        <w:rPr>
          <w:sz w:val="22"/>
          <w:szCs w:val="22"/>
          <w:lang w:val="en-GB"/>
        </w:rPr>
      </w:pPr>
      <w:r>
        <w:rPr>
          <w:noProof/>
          <w:sz w:val="22"/>
          <w:szCs w:val="22"/>
          <w:lang w:val="en-GB"/>
        </w:rPr>
        <mc:AlternateContent>
          <mc:Choice Requires="wps">
            <w:drawing>
              <wp:anchor distT="11430" distB="11430" distL="11430" distR="11430" simplePos="0" relativeHeight="6" behindDoc="0" locked="0" layoutInCell="1" allowOverlap="1" wp14:anchorId="0E8483B9" wp14:editId="0CBE0303">
                <wp:simplePos x="0" y="0"/>
                <wp:positionH relativeFrom="column">
                  <wp:posOffset>0</wp:posOffset>
                </wp:positionH>
                <wp:positionV relativeFrom="paragraph">
                  <wp:posOffset>152400</wp:posOffset>
                </wp:positionV>
                <wp:extent cx="5943600" cy="635"/>
                <wp:effectExtent l="11430" t="11430" r="11430" b="11430"/>
                <wp:wrapNone/>
                <wp:docPr id="5" name="Shape5"/>
                <wp:cNvGraphicFramePr/>
                <a:graphic xmlns:a="http://schemas.openxmlformats.org/drawingml/2006/main">
                  <a:graphicData uri="http://schemas.microsoft.com/office/word/2010/wordprocessingShape">
                    <wps:wsp>
                      <wps:cNvCnPr/>
                      <wps:spPr>
                        <a:xfrm>
                          <a:off x="0" y="0"/>
                          <a:ext cx="5943600" cy="720"/>
                        </a:xfrm>
                        <a:prstGeom prst="line">
                          <a:avLst/>
                        </a:prstGeom>
                        <a:ln w="22320">
                          <a:solidFill>
                            <a:srgbClr val="D4D4D4"/>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7144FB4" id="Shape5" o:spid="_x0000_s1026" style="position:absolute;z-index:6;visibility:visible;mso-wrap-style:square;mso-wrap-distance-left:.9pt;mso-wrap-distance-top:.9pt;mso-wrap-distance-right:.9pt;mso-wrap-distance-bottom:.9pt;mso-position-horizontal:absolute;mso-position-horizontal-relative:text;mso-position-vertical:absolute;mso-position-vertical-relative:tex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" strokecolor="#d4d4d4" strokeweight=".62mm"/>
            </w:pict>
          </mc:Fallback>
        </mc:AlternateContent>
      </w:r>
    </w:p>
    <w:p w14:paraId="598B0E24" w14:textId="77777777" w:rsidR="00153AF8" w:rsidRDefault="008774AF">
      <w:pPr>
        <w:keepNext/>
        <w:jc w:val="center"/>
        <w:rPr>
          <w:sz w:val="28"/>
          <w:szCs w:val="28"/>
          <w:lang w:val="en-GB"/>
        </w:rPr>
      </w:pPr>
      <w:r>
        <w:rPr>
          <w:rStyle w:val="Strong"/>
          <w:sz w:val="28"/>
          <w:szCs w:val="28"/>
          <w:lang w:val="en-GB"/>
        </w:rPr>
        <w:t>TENDERING</w:t>
      </w:r>
    </w:p>
    <w:p w14:paraId="46AA5FEE" w14:textId="77777777" w:rsidR="00153AF8" w:rsidRDefault="008774AF">
      <w:pPr>
        <w:keepNext/>
        <w:ind w:left="709" w:hanging="352"/>
        <w:outlineLvl w:val="0"/>
        <w:rPr>
          <w:sz w:val="22"/>
          <w:szCs w:val="22"/>
          <w:lang w:val="en-GB"/>
        </w:rPr>
      </w:pPr>
      <w:r>
        <w:rPr>
          <w:rStyle w:val="Strong"/>
          <w:sz w:val="22"/>
          <w:szCs w:val="22"/>
          <w:lang w:val="en-GB"/>
        </w:rPr>
        <w:t xml:space="preserve">18. </w:t>
      </w:r>
      <w:r>
        <w:rPr>
          <w:rStyle w:val="Strong"/>
          <w:sz w:val="22"/>
          <w:szCs w:val="22"/>
          <w:lang w:val="en-GB"/>
        </w:rPr>
        <w:tab/>
        <w:t>Deadline for submission of tenders</w:t>
      </w:r>
    </w:p>
    <w:p w14:paraId="112F1A09" w14:textId="77777777" w:rsidR="00153AF8" w:rsidRDefault="008774AF">
      <w:pPr>
        <w:pStyle w:val="Blockquote"/>
        <w:jc w:val="both"/>
        <w:rPr>
          <w:i/>
          <w:sz w:val="22"/>
          <w:szCs w:val="22"/>
          <w:lang w:val="en-GB"/>
        </w:rPr>
      </w:pPr>
      <w:r>
        <w:rPr>
          <w:rStyle w:val="Emphasis"/>
          <w:i w:val="0"/>
          <w:sz w:val="22"/>
          <w:szCs w:val="22"/>
          <w:lang w:val="en-GB"/>
        </w:rPr>
        <w:t>The deadline for submission of tenders is specified in point 8 of the instruction to tenderers.</w:t>
      </w:r>
      <w:r>
        <w:rPr>
          <w:rStyle w:val="Emphasis"/>
          <w:i w:val="0"/>
          <w:sz w:val="22"/>
          <w:szCs w:val="22"/>
          <w:highlight w:val="yellow"/>
          <w:lang w:val="en-GB"/>
        </w:rPr>
        <w:t xml:space="preserve">    </w:t>
      </w:r>
    </w:p>
    <w:p w14:paraId="57068650" w14:textId="77777777" w:rsidR="00153AF8" w:rsidRDefault="008774AF">
      <w:pPr>
        <w:ind w:left="709" w:hanging="349"/>
        <w:outlineLvl w:val="0"/>
        <w:rPr>
          <w:sz w:val="22"/>
          <w:szCs w:val="22"/>
          <w:lang w:val="en-GB"/>
        </w:rPr>
      </w:pPr>
      <w:r>
        <w:rPr>
          <w:rStyle w:val="Strong"/>
          <w:sz w:val="22"/>
          <w:szCs w:val="22"/>
          <w:lang w:val="en-GB"/>
        </w:rPr>
        <w:t xml:space="preserve">19. </w:t>
      </w:r>
      <w:r>
        <w:rPr>
          <w:rStyle w:val="Strong"/>
          <w:sz w:val="22"/>
          <w:szCs w:val="22"/>
          <w:lang w:val="en-GB"/>
        </w:rPr>
        <w:tab/>
        <w:t>Tender format and details to be provided</w:t>
      </w:r>
    </w:p>
    <w:p w14:paraId="305B89FF" w14:textId="77777777" w:rsidR="00153AF8" w:rsidRDefault="008774AF">
      <w:pPr>
        <w:pStyle w:val="Blockquote"/>
        <w:jc w:val="both"/>
        <w:rPr>
          <w:sz w:val="22"/>
          <w:szCs w:val="22"/>
          <w:lang w:val="en-GB"/>
        </w:rPr>
      </w:pPr>
      <w:r>
        <w:rPr>
          <w:rStyle w:val="Strong"/>
          <w:b w:val="0"/>
          <w:sz w:val="22"/>
          <w:szCs w:val="22"/>
          <w:lang w:val="en-GB"/>
        </w:rPr>
        <w:t>Tenders must be submitted using the standard tender form</w:t>
      </w:r>
      <w:r>
        <w:rPr>
          <w:sz w:val="22"/>
          <w:szCs w:val="22"/>
          <w:lang w:val="en-GB"/>
        </w:rPr>
        <w:t xml:space="preserve"> for simplified procedures, the </w:t>
      </w:r>
      <w:proofErr w:type="gramStart"/>
      <w:r>
        <w:rPr>
          <w:sz w:val="22"/>
          <w:szCs w:val="22"/>
          <w:lang w:val="en-GB"/>
        </w:rPr>
        <w:t>format</w:t>
      </w:r>
      <w:proofErr w:type="gramEnd"/>
      <w:r>
        <w:rPr>
          <w:sz w:val="22"/>
          <w:szCs w:val="22"/>
          <w:lang w:val="en-GB"/>
        </w:rPr>
        <w:t xml:space="preserve"> and instructions of which must be strictly observed. The tender form is available from the following internet address: </w:t>
      </w:r>
      <w:hyperlink r:id="rId8" w:anchor="Annexes-AnnexesB(Ch.3):Servicecontracts" w:history="1">
        <w:r>
          <w:rPr>
            <w:rStyle w:val="Hyperlink"/>
            <w:sz w:val="22"/>
            <w:szCs w:val="22"/>
            <w:lang w:val="en-GB"/>
          </w:rPr>
          <w:t>https://wikis.ec.europa.eu/display/ExactExternalWiki/Annexes#Annexes-AnnexesB(Ch.3):Servicecontracts</w:t>
        </w:r>
      </w:hyperlink>
      <w:r>
        <w:rPr>
          <w:sz w:val="22"/>
          <w:szCs w:val="22"/>
          <w:lang w:val="en-GB"/>
        </w:rPr>
        <w:t xml:space="preserve">, under the zip file called Simplified Tender dossier. </w:t>
      </w:r>
    </w:p>
    <w:p w14:paraId="42C9DACC" w14:textId="77777777" w:rsidR="00153AF8" w:rsidRDefault="008774AF">
      <w:pPr>
        <w:pStyle w:val="Blockquote"/>
        <w:jc w:val="both"/>
        <w:rPr>
          <w:sz w:val="22"/>
          <w:szCs w:val="22"/>
          <w:lang w:val="en-GB"/>
        </w:rPr>
      </w:pPr>
      <w:r>
        <w:rPr>
          <w:sz w:val="22"/>
          <w:szCs w:val="22"/>
          <w:lang w:val="en-GB"/>
        </w:rPr>
        <w:t>The tender must be accompanied by a declaration on honour on exclusion and selection criteria using the template available from the following Internet address:</w:t>
      </w:r>
    </w:p>
    <w:p w14:paraId="54DB91CF" w14:textId="77777777" w:rsidR="00153AF8" w:rsidRDefault="00000000">
      <w:pPr>
        <w:pStyle w:val="Blockquote"/>
        <w:jc w:val="both"/>
        <w:rPr>
          <w:sz w:val="22"/>
          <w:szCs w:val="22"/>
          <w:lang w:val="en-GB"/>
        </w:rPr>
      </w:pPr>
      <w:hyperlink r:id="rId9" w:anchor="Annexes-AnnexesA(Ch.2):General" w:history="1">
        <w:r w:rsidR="008774AF">
          <w:rPr>
            <w:rStyle w:val="Hyperlink"/>
            <w:sz w:val="22"/>
            <w:szCs w:val="22"/>
          </w:rPr>
          <w:t>https://wikis.ec.europa.eu/display/ExactExternalWiki/Annexes#Annexes-AnnexesA(Ch.2):General</w:t>
        </w:r>
      </w:hyperlink>
      <w:r w:rsidR="008774AF">
        <w:rPr>
          <w:sz w:val="22"/>
          <w:szCs w:val="22"/>
        </w:rPr>
        <w:t xml:space="preserve"> </w:t>
      </w:r>
    </w:p>
    <w:p w14:paraId="067599E7" w14:textId="77777777" w:rsidR="00153AF8" w:rsidRDefault="008774AF">
      <w:pPr>
        <w:pStyle w:val="Blockquote"/>
        <w:jc w:val="both"/>
        <w:rPr>
          <w:sz w:val="22"/>
          <w:szCs w:val="22"/>
          <w:lang w:val="en-GB"/>
        </w:rPr>
      </w:pPr>
      <w:r>
        <w:rPr>
          <w:sz w:val="22"/>
          <w:szCs w:val="22"/>
          <w:lang w:val="en-GB"/>
        </w:rPr>
        <w:t>Any additional documentation (brochure, letter, etc.) sent with a tender will not be taken into consideration.</w:t>
      </w:r>
    </w:p>
    <w:p w14:paraId="689DF561" w14:textId="77777777" w:rsidR="00153AF8" w:rsidRDefault="008774AF">
      <w:pPr>
        <w:ind w:left="709" w:hanging="349"/>
        <w:outlineLvl w:val="0"/>
        <w:rPr>
          <w:sz w:val="22"/>
          <w:szCs w:val="22"/>
          <w:lang w:val="en-GB"/>
        </w:rPr>
      </w:pPr>
      <w:r>
        <w:rPr>
          <w:rStyle w:val="Strong"/>
          <w:sz w:val="22"/>
          <w:szCs w:val="22"/>
          <w:lang w:val="en-GB"/>
        </w:rPr>
        <w:t xml:space="preserve">20. </w:t>
      </w:r>
      <w:r>
        <w:rPr>
          <w:rStyle w:val="Strong"/>
          <w:sz w:val="22"/>
          <w:szCs w:val="22"/>
          <w:lang w:val="en-GB"/>
        </w:rPr>
        <w:tab/>
        <w:t>How tenders may be submitted</w:t>
      </w:r>
    </w:p>
    <w:p w14:paraId="0EDB6880" w14:textId="77777777" w:rsidR="00153AF8" w:rsidRDefault="008774AF">
      <w:pPr>
        <w:pStyle w:val="Blockquote"/>
        <w:jc w:val="both"/>
        <w:rPr>
          <w:sz w:val="22"/>
          <w:szCs w:val="22"/>
          <w:lang w:val="en-GB"/>
        </w:rPr>
      </w:pPr>
      <w:r>
        <w:rPr>
          <w:sz w:val="22"/>
          <w:szCs w:val="22"/>
          <w:lang w:val="en-GB"/>
        </w:rPr>
        <w:t xml:space="preserve">Tenders must be submitted in English exclusively to the contracting authority, using the means specified in point 8 of the instructions to tenderers.  </w:t>
      </w:r>
    </w:p>
    <w:p w14:paraId="1244BD4F" w14:textId="77777777" w:rsidR="00153AF8" w:rsidRDefault="008774AF">
      <w:pPr>
        <w:pStyle w:val="Blockquote"/>
        <w:jc w:val="both"/>
        <w:rPr>
          <w:rStyle w:val="Strong"/>
          <w:b w:val="0"/>
          <w:sz w:val="22"/>
          <w:szCs w:val="22"/>
          <w:lang w:val="en-GB"/>
        </w:rPr>
      </w:pPr>
      <w:r>
        <w:rPr>
          <w:rStyle w:val="Strong"/>
          <w:b w:val="0"/>
          <w:sz w:val="22"/>
          <w:szCs w:val="22"/>
          <w:lang w:val="en-GB"/>
        </w:rPr>
        <w:t>Tenders submitted by any other means will not be considered.</w:t>
      </w:r>
    </w:p>
    <w:p w14:paraId="721F4C20" w14:textId="77777777" w:rsidR="00153AF8" w:rsidRDefault="008774AF">
      <w:pPr>
        <w:pStyle w:val="Blockquote"/>
        <w:jc w:val="both"/>
        <w:rPr>
          <w:rStyle w:val="Strong"/>
          <w:b w:val="0"/>
          <w:sz w:val="22"/>
          <w:szCs w:val="22"/>
          <w:lang w:val="en-GB"/>
        </w:rPr>
      </w:pPr>
      <w:r>
        <w:rPr>
          <w:sz w:val="22"/>
          <w:szCs w:val="22"/>
          <w:lang w:val="en-GB"/>
        </w:rPr>
        <w:t xml:space="preserve">By submitting a </w:t>
      </w:r>
      <w:proofErr w:type="gramStart"/>
      <w:r>
        <w:rPr>
          <w:sz w:val="22"/>
          <w:szCs w:val="22"/>
          <w:lang w:val="en-GB"/>
        </w:rPr>
        <w:t>tender tenderers</w:t>
      </w:r>
      <w:proofErr w:type="gramEnd"/>
      <w:r>
        <w:rPr>
          <w:sz w:val="22"/>
          <w:szCs w:val="22"/>
          <w:lang w:val="en-GB"/>
        </w:rPr>
        <w:t xml:space="preserve"> accept to receive notification of the outcome of the procedure by electronic means.</w:t>
      </w:r>
    </w:p>
    <w:p w14:paraId="35B84BF4" w14:textId="77777777" w:rsidR="00153AF8" w:rsidRDefault="008774AF">
      <w:pPr>
        <w:ind w:left="709" w:hanging="349"/>
        <w:outlineLvl w:val="0"/>
        <w:rPr>
          <w:b/>
          <w:sz w:val="22"/>
          <w:szCs w:val="22"/>
          <w:lang w:val="en-GB"/>
        </w:rPr>
      </w:pPr>
      <w:r>
        <w:rPr>
          <w:rStyle w:val="Strong"/>
          <w:sz w:val="22"/>
          <w:szCs w:val="22"/>
          <w:lang w:val="en-GB"/>
        </w:rPr>
        <w:t>21.</w:t>
      </w:r>
      <w:r>
        <w:rPr>
          <w:rStyle w:val="Strong"/>
          <w:sz w:val="22"/>
          <w:szCs w:val="22"/>
          <w:lang w:val="en-GB"/>
        </w:rPr>
        <w:tab/>
        <w:t>Alteration or withdrawal of tenders</w:t>
      </w:r>
    </w:p>
    <w:p w14:paraId="7A46B1DE" w14:textId="77777777" w:rsidR="00153AF8" w:rsidRDefault="008774AF">
      <w:pPr>
        <w:pStyle w:val="Blockquote"/>
        <w:jc w:val="both"/>
        <w:rPr>
          <w:sz w:val="22"/>
          <w:szCs w:val="22"/>
          <w:lang w:val="en-GB"/>
        </w:rPr>
      </w:pPr>
      <w:r>
        <w:rPr>
          <w:sz w:val="22"/>
          <w:szCs w:val="22"/>
          <w:lang w:val="en-GB"/>
        </w:rPr>
        <w:t>Tenderers may alter or withdraw their tenders by written notification prior to the deadline for submission of tenders. No tender may be altered after this deadline.</w:t>
      </w:r>
    </w:p>
    <w:p w14:paraId="052296E0" w14:textId="77777777" w:rsidR="00153AF8" w:rsidRDefault="008774AF">
      <w:pPr>
        <w:pStyle w:val="Blockquote"/>
        <w:jc w:val="both"/>
        <w:rPr>
          <w:sz w:val="22"/>
          <w:szCs w:val="22"/>
          <w:lang w:val="en-GB"/>
        </w:rPr>
      </w:pPr>
      <w:r>
        <w:rPr>
          <w:sz w:val="22"/>
          <w:szCs w:val="22"/>
          <w:lang w:val="en-GB"/>
        </w:rPr>
        <w:t xml:space="preserve">Any such notification of alteration or withdrawal shall be prepared and submitted in accordance with point 9 of the instructions to tenderers. </w:t>
      </w:r>
    </w:p>
    <w:p w14:paraId="1B02C15B" w14:textId="77777777" w:rsidR="00153AF8" w:rsidRDefault="008774AF">
      <w:pPr>
        <w:keepNext/>
        <w:ind w:left="709" w:hanging="352"/>
        <w:outlineLvl w:val="0"/>
        <w:rPr>
          <w:sz w:val="22"/>
          <w:szCs w:val="22"/>
          <w:lang w:val="en-GB"/>
        </w:rPr>
      </w:pPr>
      <w:r>
        <w:rPr>
          <w:rStyle w:val="Strong"/>
          <w:sz w:val="22"/>
          <w:szCs w:val="22"/>
          <w:lang w:val="en-GB"/>
        </w:rPr>
        <w:t xml:space="preserve">22. </w:t>
      </w:r>
      <w:r>
        <w:rPr>
          <w:rStyle w:val="Strong"/>
          <w:sz w:val="22"/>
          <w:szCs w:val="22"/>
          <w:lang w:val="en-GB"/>
        </w:rPr>
        <w:tab/>
        <w:t>Operational language</w:t>
      </w:r>
    </w:p>
    <w:p w14:paraId="53C07974" w14:textId="77777777" w:rsidR="00153AF8" w:rsidRDefault="008774AF">
      <w:pPr>
        <w:pStyle w:val="Blockquote"/>
        <w:jc w:val="both"/>
        <w:rPr>
          <w:i/>
          <w:sz w:val="22"/>
          <w:szCs w:val="22"/>
          <w:lang w:val="en-GB"/>
        </w:rPr>
      </w:pPr>
      <w:r>
        <w:rPr>
          <w:rStyle w:val="Emphasis"/>
          <w:i w:val="0"/>
          <w:sz w:val="22"/>
          <w:szCs w:val="22"/>
          <w:lang w:val="en-GB"/>
        </w:rPr>
        <w:t xml:space="preserve">All written communications for this tender procedure and contract must be in English.  </w:t>
      </w:r>
    </w:p>
    <w:p w14:paraId="1A00363A" w14:textId="77777777" w:rsidR="00153AF8" w:rsidRDefault="008774AF">
      <w:pPr>
        <w:pStyle w:val="Blockquote"/>
        <w:jc w:val="both"/>
        <w:rPr>
          <w:b/>
          <w:sz w:val="22"/>
          <w:szCs w:val="22"/>
          <w:lang w:val="en-GB"/>
        </w:rPr>
      </w:pPr>
      <w:r>
        <w:rPr>
          <w:b/>
          <w:sz w:val="22"/>
          <w:szCs w:val="22"/>
          <w:lang w:val="en-GB"/>
        </w:rPr>
        <w:lastRenderedPageBreak/>
        <w:t>23. Additional information</w:t>
      </w:r>
    </w:p>
    <w:p w14:paraId="152D15CE" w14:textId="77777777" w:rsidR="00153AF8" w:rsidRDefault="008774AF">
      <w:pPr>
        <w:pStyle w:val="Blockquote"/>
        <w:jc w:val="both"/>
        <w:rPr>
          <w:lang w:val="en-GB"/>
        </w:rPr>
      </w:pPr>
      <w:r>
        <w:rPr>
          <w:lang w:val="en-GB"/>
        </w:rPr>
        <w:t xml:space="preserve">Financial data to be provided by the candidate in the standard application form must be expressed in MK Denars. If applicable, where a candidate refers to amounts originally expressed in a different currency, the conversion to MKD shall be made in accordance with the </w:t>
      </w:r>
      <w:proofErr w:type="spellStart"/>
      <w:r>
        <w:rPr>
          <w:lang w:val="en-GB"/>
        </w:rPr>
        <w:t>InforEuro</w:t>
      </w:r>
      <w:proofErr w:type="spellEnd"/>
      <w:r>
        <w:rPr>
          <w:lang w:val="en-GB"/>
        </w:rPr>
        <w:t xml:space="preserve"> exchange rate of which can be found at the following address: </w:t>
      </w:r>
      <w:proofErr w:type="gramStart"/>
      <w:r>
        <w:rPr>
          <w:lang w:val="en-GB"/>
        </w:rPr>
        <w:t>https://ec.europa.eu/info/funding-tenders/procedures-guidelines-tenders/information-contractors-and-beneficiaries/exchange-rate-inforeuro_en</w:t>
      </w:r>
      <w:proofErr w:type="gramEnd"/>
      <w:r>
        <w:rPr>
          <w:lang w:val="en-GB"/>
        </w:rPr>
        <w:t xml:space="preserve"> </w:t>
      </w:r>
    </w:p>
    <w:p w14:paraId="7DAA454B" w14:textId="77777777" w:rsidR="00153AF8" w:rsidRDefault="00153AF8">
      <w:pPr>
        <w:widowControl/>
        <w:snapToGrid w:val="0"/>
        <w:spacing w:after="0"/>
        <w:ind w:left="360" w:right="360"/>
        <w:jc w:val="both"/>
        <w:rPr>
          <w:lang w:val="en-GB"/>
        </w:rPr>
      </w:pPr>
    </w:p>
    <w:p w14:paraId="083136B3" w14:textId="77777777" w:rsidR="00153AF8" w:rsidRDefault="00153AF8">
      <w:pPr>
        <w:pStyle w:val="Blockquote"/>
        <w:jc w:val="both"/>
        <w:rPr>
          <w:sz w:val="22"/>
          <w:szCs w:val="22"/>
          <w:lang w:val="en-GB"/>
        </w:rPr>
      </w:pPr>
    </w:p>
    <w:sectPr w:rsidR="00153AF8">
      <w:headerReference w:type="even" r:id="rId10"/>
      <w:headerReference w:type="default" r:id="rId11"/>
      <w:footerReference w:type="even" r:id="rId12"/>
      <w:footerReference w:type="default" r:id="rId13"/>
      <w:headerReference w:type="first" r:id="rId14"/>
      <w:footerReference w:type="first" r:id="rId15"/>
      <w:pgSz w:w="12240" w:h="15840"/>
      <w:pgMar w:top="908" w:right="1440" w:bottom="1276" w:left="1418" w:header="851" w:footer="63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910B" w14:textId="77777777" w:rsidR="003761CD" w:rsidRDefault="003761CD">
      <w:pPr>
        <w:spacing w:before="0" w:after="0"/>
      </w:pPr>
      <w:r>
        <w:separator/>
      </w:r>
    </w:p>
  </w:endnote>
  <w:endnote w:type="continuationSeparator" w:id="0">
    <w:p w14:paraId="677ED928" w14:textId="77777777" w:rsidR="003761CD" w:rsidRDefault="003761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E574" w14:textId="77777777" w:rsidR="00153AF8" w:rsidRDefault="00153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54FB2" w14:textId="77777777" w:rsidR="00153AF8" w:rsidRDefault="008774AF">
    <w:pPr>
      <w:pStyle w:val="Footer"/>
      <w:tabs>
        <w:tab w:val="clear" w:pos="4320"/>
        <w:tab w:val="clear" w:pos="8640"/>
        <w:tab w:val="right" w:pos="9214"/>
      </w:tabs>
      <w:spacing w:before="120" w:after="0"/>
      <w:rPr>
        <w:b/>
        <w:sz w:val="20"/>
        <w:lang w:val="en-GB"/>
      </w:rPr>
    </w:pPr>
    <w:r>
      <w:rPr>
        <w:b/>
        <w:sz w:val="20"/>
      </w:rPr>
      <w:t>2021.1</w:t>
    </w:r>
    <w:r>
      <w:rPr>
        <w:sz w:val="18"/>
        <w:szCs w:val="18"/>
        <w:lang w:val="en-GB"/>
      </w:rPr>
      <w:tab/>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r>
      <w:rPr>
        <w:rStyle w:val="PageNumber"/>
        <w:sz w:val="18"/>
        <w:szCs w:val="18"/>
        <w:lang w:val="en-GB"/>
      </w:rPr>
      <w:t xml:space="preserve"> of </w:t>
    </w:r>
    <w:r>
      <w:rPr>
        <w:rStyle w:val="PageNumber"/>
        <w:sz w:val="18"/>
        <w:szCs w:val="18"/>
        <w:lang w:val="en-GB"/>
      </w:rPr>
      <w:fldChar w:fldCharType="begin"/>
    </w:r>
    <w:r>
      <w:rPr>
        <w:rStyle w:val="PageNumber"/>
        <w:sz w:val="18"/>
        <w:szCs w:val="18"/>
        <w:lang w:val="en-GB"/>
      </w:rPr>
      <w:instrText xml:space="preserve"> NUMPAGES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p>
  <w:p w14:paraId="352F49FD" w14:textId="77777777" w:rsidR="00153AF8" w:rsidRDefault="008774AF">
    <w:pPr>
      <w:pStyle w:val="Footer"/>
      <w:spacing w:before="0" w:after="0"/>
      <w:rPr>
        <w:lang w:val="en-GB"/>
      </w:rPr>
    </w:pPr>
    <w:r>
      <w:rPr>
        <w:sz w:val="18"/>
        <w:szCs w:val="18"/>
        <w:lang w:val="en-GB"/>
      </w:rPr>
      <w:fldChar w:fldCharType="begin"/>
    </w:r>
    <w:r>
      <w:rPr>
        <w:sz w:val="18"/>
        <w:szCs w:val="18"/>
        <w:lang w:val="en-GB"/>
      </w:rPr>
      <w:instrText xml:space="preserve"> FILENAME </w:instrText>
    </w:r>
    <w:r>
      <w:rPr>
        <w:sz w:val="18"/>
        <w:szCs w:val="18"/>
        <w:lang w:val="en-GB"/>
      </w:rPr>
      <w:fldChar w:fldCharType="separate"/>
    </w:r>
    <w:r>
      <w:rPr>
        <w:sz w:val="18"/>
        <w:szCs w:val="18"/>
        <w:lang w:val="en-GB"/>
      </w:rPr>
      <w:t>b8o3_contractnotice_simp_neg_en_MSK.docx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1D10" w14:textId="77777777" w:rsidR="00153AF8" w:rsidRDefault="008774AF">
    <w:pPr>
      <w:pStyle w:val="Footer"/>
      <w:tabs>
        <w:tab w:val="clear" w:pos="4320"/>
        <w:tab w:val="clear" w:pos="8640"/>
        <w:tab w:val="right" w:pos="9214"/>
      </w:tabs>
      <w:spacing w:before="120" w:after="0"/>
      <w:rPr>
        <w:b/>
        <w:sz w:val="20"/>
        <w:lang w:val="en-GB"/>
      </w:rPr>
    </w:pPr>
    <w:r>
      <w:rPr>
        <w:b/>
        <w:sz w:val="20"/>
      </w:rPr>
      <w:t>2021.1</w:t>
    </w:r>
    <w:r>
      <w:rPr>
        <w:sz w:val="18"/>
        <w:szCs w:val="18"/>
        <w:lang w:val="en-GB"/>
      </w:rPr>
      <w:tab/>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r>
      <w:rPr>
        <w:rStyle w:val="PageNumber"/>
        <w:sz w:val="18"/>
        <w:szCs w:val="18"/>
        <w:lang w:val="en-GB"/>
      </w:rPr>
      <w:t xml:space="preserve"> of </w:t>
    </w:r>
    <w:r>
      <w:rPr>
        <w:rStyle w:val="PageNumber"/>
        <w:sz w:val="18"/>
        <w:szCs w:val="18"/>
        <w:lang w:val="en-GB"/>
      </w:rPr>
      <w:fldChar w:fldCharType="begin"/>
    </w:r>
    <w:r>
      <w:rPr>
        <w:rStyle w:val="PageNumber"/>
        <w:sz w:val="18"/>
        <w:szCs w:val="18"/>
        <w:lang w:val="en-GB"/>
      </w:rPr>
      <w:instrText xml:space="preserve"> NUMPAGES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p>
  <w:p w14:paraId="4524D6BD" w14:textId="77777777" w:rsidR="00153AF8" w:rsidRDefault="008774AF">
    <w:pPr>
      <w:pStyle w:val="Footer"/>
      <w:spacing w:before="0" w:after="0"/>
      <w:rPr>
        <w:lang w:val="en-GB"/>
      </w:rPr>
    </w:pPr>
    <w:r>
      <w:rPr>
        <w:sz w:val="18"/>
        <w:szCs w:val="18"/>
        <w:lang w:val="en-GB"/>
      </w:rPr>
      <w:fldChar w:fldCharType="begin"/>
    </w:r>
    <w:r>
      <w:rPr>
        <w:sz w:val="18"/>
        <w:szCs w:val="18"/>
        <w:lang w:val="en-GB"/>
      </w:rPr>
      <w:instrText xml:space="preserve"> FILENAME </w:instrText>
    </w:r>
    <w:r>
      <w:rPr>
        <w:sz w:val="18"/>
        <w:szCs w:val="18"/>
        <w:lang w:val="en-GB"/>
      </w:rPr>
      <w:fldChar w:fldCharType="separate"/>
    </w:r>
    <w:r>
      <w:rPr>
        <w:sz w:val="18"/>
        <w:szCs w:val="18"/>
        <w:lang w:val="en-GB"/>
      </w:rPr>
      <w:t>b8o3_contractnotice_simp_neg_en_MSK.docx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9079" w14:textId="77777777" w:rsidR="003761CD" w:rsidRDefault="003761CD">
      <w:pPr>
        <w:rPr>
          <w:sz w:val="12"/>
        </w:rPr>
      </w:pPr>
      <w:r>
        <w:separator/>
      </w:r>
    </w:p>
  </w:footnote>
  <w:footnote w:type="continuationSeparator" w:id="0">
    <w:p w14:paraId="7C31109E" w14:textId="77777777" w:rsidR="003761CD" w:rsidRDefault="003761C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FB15" w14:textId="77777777" w:rsidR="00153AF8" w:rsidRDefault="00153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FF89" w14:textId="77777777" w:rsidR="00153AF8" w:rsidRDefault="00153AF8">
    <w:pPr>
      <w:pStyle w:val="Header"/>
      <w:ind w:left="44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F01B" w14:textId="77777777" w:rsidR="00153AF8" w:rsidRDefault="00153AF8">
    <w:pPr>
      <w:pStyle w:val="Header"/>
      <w:ind w:left="44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C143C"/>
    <w:multiLevelType w:val="multilevel"/>
    <w:tmpl w:val="FE4C42E0"/>
    <w:lvl w:ilvl="0">
      <w:start w:val="1"/>
      <w:numFmt w:val="lowerLetter"/>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 w15:restartNumberingAfterBreak="0">
    <w:nsid w:val="180A6E6C"/>
    <w:multiLevelType w:val="multilevel"/>
    <w:tmpl w:val="CC985B48"/>
    <w:lvl w:ilvl="0">
      <w:start w:val="1"/>
      <w:numFmt w:val="decimal"/>
      <w:pStyle w:val="PRAGHeading2"/>
      <w:lvlText w:val="%1."/>
      <w:lvlJc w:val="left"/>
      <w:pPr>
        <w:tabs>
          <w:tab w:val="num" w:pos="1134"/>
        </w:tabs>
        <w:ind w:left="1134" w:hanging="567"/>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9904FC0"/>
    <w:multiLevelType w:val="multilevel"/>
    <w:tmpl w:val="97C27528"/>
    <w:lvl w:ilvl="0">
      <w:start w:val="1"/>
      <w:numFmt w:val="lowerLetter"/>
      <w:lvlText w:val="%1)"/>
      <w:lvlJc w:val="left"/>
      <w:pPr>
        <w:tabs>
          <w:tab w:val="num" w:pos="0"/>
        </w:tabs>
        <w:ind w:left="1080" w:hanging="360"/>
      </w:pPr>
      <w:rPr>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B2A70C3"/>
    <w:multiLevelType w:val="multilevel"/>
    <w:tmpl w:val="506463C0"/>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F1F240B"/>
    <w:multiLevelType w:val="multilevel"/>
    <w:tmpl w:val="EFD2DD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41990049">
    <w:abstractNumId w:val="1"/>
  </w:num>
  <w:num w:numId="2" w16cid:durableId="662127600">
    <w:abstractNumId w:val="3"/>
  </w:num>
  <w:num w:numId="3" w16cid:durableId="1274440260">
    <w:abstractNumId w:val="2"/>
  </w:num>
  <w:num w:numId="4" w16cid:durableId="1686318972">
    <w:abstractNumId w:val="0"/>
  </w:num>
  <w:num w:numId="5" w16cid:durableId="1022435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53AF8"/>
    <w:rsid w:val="00140B11"/>
    <w:rsid w:val="00153AF8"/>
    <w:rsid w:val="002B171D"/>
    <w:rsid w:val="0031089D"/>
    <w:rsid w:val="003344E7"/>
    <w:rsid w:val="003761CD"/>
    <w:rsid w:val="0042695E"/>
    <w:rsid w:val="00687DDA"/>
    <w:rsid w:val="008774AF"/>
    <w:rsid w:val="00B40696"/>
    <w:rsid w:val="00CA792D"/>
    <w:rsid w:val="00FE3151"/>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6D99"/>
  <w15:docId w15:val="{102F7F03-E163-4EA9-9904-E5E22D823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inition">
    <w:name w:val="Definition"/>
    <w:qFormat/>
    <w:rPr>
      <w:i/>
    </w:rPr>
  </w:style>
  <w:style w:type="character" w:customStyle="1" w:styleId="CITE">
    <w:name w:val="CITE"/>
    <w:qFormat/>
    <w:rPr>
      <w:i/>
    </w:rPr>
  </w:style>
  <w:style w:type="character" w:customStyle="1" w:styleId="CODE">
    <w:name w:val="CODE"/>
    <w:qFormat/>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styleId="Strong">
    <w:name w:val="Strong"/>
    <w:qFormat/>
    <w:rPr>
      <w:b/>
    </w:rPr>
  </w:style>
  <w:style w:type="character" w:customStyle="1" w:styleId="Typewriter">
    <w:name w:val="Typewriter"/>
    <w:qFormat/>
    <w:rPr>
      <w:rFonts w:ascii="Courier New" w:hAnsi="Courier New"/>
      <w:sz w:val="20"/>
    </w:rPr>
  </w:style>
  <w:style w:type="character" w:customStyle="1" w:styleId="Variable">
    <w:name w:val="Variable"/>
    <w:qFormat/>
    <w:rPr>
      <w:i/>
    </w:rPr>
  </w:style>
  <w:style w:type="character" w:customStyle="1" w:styleId="HTMLMarkup">
    <w:name w:val="HTML Markup"/>
    <w:qFormat/>
    <w:rPr>
      <w:vanish/>
      <w:color w:val="FF0000"/>
    </w:rPr>
  </w:style>
  <w:style w:type="character" w:customStyle="1" w:styleId="Comment">
    <w:name w:val="Comment"/>
    <w:qFormat/>
    <w:rPr>
      <w:vanish/>
    </w:rPr>
  </w:style>
  <w:style w:type="character" w:styleId="PageNumber">
    <w:name w:val="page number"/>
    <w:basedOn w:val="DefaultParagraphFont"/>
    <w:qFormat/>
    <w:rsid w:val="007F095B"/>
  </w:style>
  <w:style w:type="character" w:customStyle="1" w:styleId="FootnoteCharacters">
    <w:name w:val="Footnote Characters"/>
    <w:uiPriority w:val="99"/>
    <w:qFormat/>
    <w:rPr>
      <w:vertAlign w:val="superscript"/>
    </w:rPr>
  </w:style>
  <w:style w:type="character" w:styleId="FootnoteReference">
    <w:name w:val="footnote reference"/>
    <w:rPr>
      <w:vertAlign w:val="superscript"/>
    </w:rPr>
  </w:style>
  <w:style w:type="character" w:customStyle="1" w:styleId="FooterChar">
    <w:name w:val="Footer Char"/>
    <w:link w:val="Footer"/>
    <w:qFormat/>
    <w:rsid w:val="007727F3"/>
    <w:rPr>
      <w:sz w:val="24"/>
      <w:lang w:val="en-US" w:eastAsia="en-US"/>
    </w:rPr>
  </w:style>
  <w:style w:type="character" w:customStyle="1" w:styleId="BalloonTextChar">
    <w:name w:val="Balloon Text Char"/>
    <w:link w:val="BalloonText"/>
    <w:qFormat/>
    <w:rsid w:val="00D240C3"/>
    <w:rPr>
      <w:rFonts w:ascii="Tahoma" w:hAnsi="Tahoma" w:cs="Tahoma"/>
      <w:sz w:val="16"/>
      <w:szCs w:val="16"/>
      <w:lang w:val="en-US" w:eastAsia="en-US"/>
    </w:rPr>
  </w:style>
  <w:style w:type="character" w:styleId="CommentReference">
    <w:name w:val="annotation reference"/>
    <w:qFormat/>
    <w:rsid w:val="009B69BE"/>
    <w:rPr>
      <w:sz w:val="16"/>
      <w:szCs w:val="16"/>
    </w:rPr>
  </w:style>
  <w:style w:type="character" w:customStyle="1" w:styleId="CommentTextChar">
    <w:name w:val="Comment Text Char"/>
    <w:link w:val="CommentText"/>
    <w:qFormat/>
    <w:rsid w:val="009B69BE"/>
    <w:rPr>
      <w:lang w:val="en-US" w:eastAsia="en-US"/>
    </w:rPr>
  </w:style>
  <w:style w:type="character" w:customStyle="1" w:styleId="CommentSubjectChar">
    <w:name w:val="Comment Subject Char"/>
    <w:link w:val="CommentSubject"/>
    <w:qFormat/>
    <w:rsid w:val="009B69BE"/>
    <w:rPr>
      <w:b/>
      <w:bCs/>
      <w:lang w:val="en-US" w:eastAsia="en-US"/>
    </w:rPr>
  </w:style>
  <w:style w:type="character" w:customStyle="1" w:styleId="SubtitleChar">
    <w:name w:val="Subtitle Char"/>
    <w:link w:val="Subtitle"/>
    <w:qFormat/>
    <w:rsid w:val="00A36F1C"/>
    <w:rPr>
      <w:b/>
      <w:sz w:val="28"/>
      <w:lang w:val="fr-BE"/>
    </w:rPr>
  </w:style>
  <w:style w:type="character" w:customStyle="1" w:styleId="FootnoteTextChar">
    <w:name w:val="Footnote Text Char"/>
    <w:link w:val="FootnoteText"/>
    <w:uiPriority w:val="99"/>
    <w:qFormat/>
    <w:rsid w:val="00B9793F"/>
    <w:rPr>
      <w:lang w:val="en-US" w:eastAsia="en-US"/>
    </w:rPr>
  </w:style>
  <w:style w:type="character" w:customStyle="1" w:styleId="normaltextrun">
    <w:name w:val="normaltextrun"/>
    <w:qFormat/>
    <w:rsid w:val="00B9793F"/>
  </w:style>
  <w:style w:type="character" w:customStyle="1" w:styleId="eop">
    <w:name w:val="eop"/>
    <w:qFormat/>
    <w:rsid w:val="00B9793F"/>
  </w:style>
  <w:style w:type="character" w:customStyle="1" w:styleId="highlight">
    <w:name w:val="highlight"/>
    <w:qFormat/>
    <w:rsid w:val="00B9793F"/>
    <w:rPr>
      <w:rFonts w:cs="Times New Roman"/>
    </w:rPr>
  </w:style>
  <w:style w:type="character" w:customStyle="1" w:styleId="Heading4Char">
    <w:name w:val="Heading 4 Char"/>
    <w:basedOn w:val="DefaultParagraphFont"/>
    <w:link w:val="Heading4"/>
    <w:semiHidden/>
    <w:qFormat/>
    <w:rsid w:val="004916FF"/>
    <w:rPr>
      <w:rFonts w:asciiTheme="minorHAnsi" w:eastAsiaTheme="minorEastAsia" w:hAnsiTheme="minorHAnsi" w:cstheme="minorBidi"/>
      <w:b/>
      <w:bCs/>
      <w:sz w:val="28"/>
      <w:szCs w:val="28"/>
      <w:lang w:val="en-US" w:eastAsia="en-US"/>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customStyle="1" w:styleId="Bullets">
    <w:name w:val="Bullets"/>
    <w:qFormat/>
    <w:rPr>
      <w:rFonts w:ascii="OpenSymbol" w:eastAsia="OpenSymbol" w:hAnsi="OpenSymbol" w:cs="OpenSymbol"/>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before="0"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DefinitionTerm">
    <w:name w:val="Definition Term"/>
    <w:basedOn w:val="Normal"/>
    <w:next w:val="DefinitionList"/>
    <w:qFormat/>
    <w:pPr>
      <w:spacing w:before="0" w:after="0"/>
    </w:pPr>
  </w:style>
  <w:style w:type="paragraph" w:customStyle="1" w:styleId="DefinitionList">
    <w:name w:val="Definition List"/>
    <w:basedOn w:val="Normal"/>
    <w:next w:val="DefinitionTerm"/>
    <w:qFormat/>
    <w:pPr>
      <w:spacing w:before="0" w:after="0"/>
      <w:ind w:left="360"/>
    </w:pPr>
  </w:style>
  <w:style w:type="paragraph" w:customStyle="1" w:styleId="H1">
    <w:name w:val="H1"/>
    <w:basedOn w:val="Normal"/>
    <w:next w:val="Normal"/>
    <w:qFormat/>
    <w:pPr>
      <w:keepNext/>
      <w:outlineLvl w:val="1"/>
    </w:pPr>
    <w:rPr>
      <w:b/>
      <w:kern w:val="2"/>
      <w:sz w:val="48"/>
    </w:rPr>
  </w:style>
  <w:style w:type="paragraph" w:customStyle="1" w:styleId="H2">
    <w:name w:val="H2"/>
    <w:basedOn w:val="Normal"/>
    <w:next w:val="Normal"/>
    <w:qFormat/>
    <w:pPr>
      <w:keepNext/>
      <w:outlineLvl w:val="2"/>
    </w:pPr>
    <w:rPr>
      <w:b/>
      <w:sz w:val="36"/>
    </w:rPr>
  </w:style>
  <w:style w:type="paragraph" w:customStyle="1" w:styleId="H3">
    <w:name w:val="H3"/>
    <w:basedOn w:val="Normal"/>
    <w:next w:val="Normal"/>
    <w:qFormat/>
    <w:pPr>
      <w:keepNext/>
      <w:outlineLvl w:val="3"/>
    </w:pPr>
    <w:rPr>
      <w:b/>
      <w:sz w:val="28"/>
    </w:rPr>
  </w:style>
  <w:style w:type="paragraph" w:customStyle="1" w:styleId="H4">
    <w:name w:val="H4"/>
    <w:basedOn w:val="Normal"/>
    <w:next w:val="Normal"/>
    <w:qFormat/>
    <w:pPr>
      <w:keepNext/>
      <w:outlineLvl w:val="4"/>
    </w:pPr>
    <w:rPr>
      <w:b/>
    </w:rPr>
  </w:style>
  <w:style w:type="paragraph" w:customStyle="1" w:styleId="H5">
    <w:name w:val="H5"/>
    <w:basedOn w:val="Normal"/>
    <w:next w:val="Normal"/>
    <w:qFormat/>
    <w:pPr>
      <w:keepNext/>
      <w:outlineLvl w:val="5"/>
    </w:pPr>
    <w:rPr>
      <w:b/>
      <w:sz w:val="20"/>
    </w:rPr>
  </w:style>
  <w:style w:type="paragraph" w:customStyle="1" w:styleId="H6">
    <w:name w:val="H6"/>
    <w:basedOn w:val="Normal"/>
    <w:next w:val="Normal"/>
    <w:qFormat/>
    <w:pPr>
      <w:keepNext/>
      <w:outlineLvl w:val="6"/>
    </w:pPr>
    <w:rPr>
      <w:b/>
      <w:sz w:val="16"/>
    </w:rPr>
  </w:style>
  <w:style w:type="paragraph" w:customStyle="1" w:styleId="Address">
    <w:name w:val="Address"/>
    <w:basedOn w:val="Normal"/>
    <w:next w:val="Normal"/>
    <w:qFormat/>
    <w:pPr>
      <w:spacing w:before="0" w:after="0"/>
    </w:pPr>
    <w:rPr>
      <w:i/>
    </w:rPr>
  </w:style>
  <w:style w:type="paragraph" w:customStyle="1" w:styleId="Blockquote">
    <w:name w:val="Blockquote"/>
    <w:basedOn w:val="Normal"/>
    <w:qFormat/>
    <w:pPr>
      <w:ind w:left="360" w:right="360"/>
    </w:p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qFormat/>
    <w:pPr>
      <w:widowControl w:val="0"/>
      <w:pBdr>
        <w:top w:val="double" w:sz="2" w:space="0" w:color="000000"/>
      </w:pBdr>
      <w:jc w:val="center"/>
    </w:pPr>
    <w:rPr>
      <w:rFonts w:ascii="Arial" w:hAnsi="Arial"/>
      <w:vanish/>
      <w:sz w:val="16"/>
      <w:lang w:val="en-US" w:eastAsia="en-US"/>
    </w:rPr>
  </w:style>
  <w:style w:type="paragraph" w:styleId="z-TopofForm">
    <w:name w:val="HTML Top of Form"/>
    <w:next w:val="Normal"/>
    <w:qFormat/>
    <w:pPr>
      <w:widowControl w:val="0"/>
      <w:pBdr>
        <w:bottom w:val="double" w:sz="2" w:space="0" w:color="000000"/>
      </w:pBdr>
      <w:jc w:val="center"/>
    </w:pPr>
    <w:rPr>
      <w:rFonts w:ascii="Arial" w:hAnsi="Arial"/>
      <w:vanish/>
      <w:sz w:val="16"/>
      <w:lang w:val="en-US" w:eastAsia="en-US"/>
    </w:rPr>
  </w:style>
  <w:style w:type="paragraph" w:styleId="DocumentMap">
    <w:name w:val="Document Map"/>
    <w:basedOn w:val="Normal"/>
    <w:semiHidden/>
    <w:qFormat/>
    <w:pPr>
      <w:shd w:val="clear" w:color="auto" w:fill="000080"/>
    </w:pPr>
    <w:rPr>
      <w:rFonts w:ascii="Tahoma" w:hAnsi="Tahoma"/>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3">
    <w:name w:val="Body Text 3"/>
    <w:basedOn w:val="Normal"/>
    <w:qFormat/>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paragraph" w:styleId="BalloonText">
    <w:name w:val="Balloon Text"/>
    <w:basedOn w:val="Normal"/>
    <w:link w:val="BalloonTextChar"/>
    <w:qFormat/>
    <w:rsid w:val="00D240C3"/>
    <w:pPr>
      <w:spacing w:before="0" w:after="0"/>
    </w:pPr>
    <w:rPr>
      <w:rFonts w:ascii="Tahoma" w:hAnsi="Tahoma" w:cs="Tahoma"/>
      <w:sz w:val="16"/>
      <w:szCs w:val="16"/>
    </w:rPr>
  </w:style>
  <w:style w:type="paragraph" w:styleId="CommentText">
    <w:name w:val="annotation text"/>
    <w:basedOn w:val="Normal"/>
    <w:link w:val="CommentTextChar"/>
    <w:qFormat/>
    <w:rsid w:val="009B69BE"/>
    <w:rPr>
      <w:sz w:val="20"/>
    </w:rPr>
  </w:style>
  <w:style w:type="paragraph" w:styleId="CommentSubject">
    <w:name w:val="annotation subject"/>
    <w:basedOn w:val="CommentText"/>
    <w:next w:val="CommentText"/>
    <w:link w:val="CommentSubjectChar"/>
    <w:qFormat/>
    <w:rsid w:val="009B69BE"/>
    <w:rPr>
      <w:b/>
      <w:bCs/>
    </w:rPr>
  </w:style>
  <w:style w:type="paragraph" w:customStyle="1" w:styleId="PRAGHeading2">
    <w:name w:val="PRAG Heading 2"/>
    <w:basedOn w:val="Normal"/>
    <w:qFormat/>
    <w:rsid w:val="00971962"/>
    <w:pPr>
      <w:numPr>
        <w:numId w:val="1"/>
      </w:numPr>
    </w:pPr>
  </w:style>
  <w:style w:type="paragraph" w:styleId="Subtitle">
    <w:name w:val="Subtitle"/>
    <w:basedOn w:val="Normal"/>
    <w:link w:val="SubtitleChar"/>
    <w:qFormat/>
    <w:rsid w:val="00A36F1C"/>
    <w:pPr>
      <w:widowControl/>
      <w:spacing w:before="0" w:after="0"/>
      <w:jc w:val="center"/>
    </w:pPr>
    <w:rPr>
      <w:b/>
      <w:sz w:val="28"/>
      <w:lang w:val="fr-BE" w:eastAsia="en-GB"/>
    </w:rPr>
  </w:style>
  <w:style w:type="paragraph" w:customStyle="1" w:styleId="paragraph">
    <w:name w:val="paragraph"/>
    <w:basedOn w:val="Normal"/>
    <w:qFormat/>
    <w:rsid w:val="00B9793F"/>
    <w:pPr>
      <w:widowControl/>
      <w:spacing w:beforeAutospacing="1" w:afterAutospacing="1"/>
    </w:pPr>
    <w:rPr>
      <w:szCs w:val="24"/>
      <w:lang w:val="fr-BE" w:eastAsia="fr-BE"/>
    </w:rPr>
  </w:style>
  <w:style w:type="paragraph" w:styleId="ListParagraph">
    <w:name w:val="List Paragraph"/>
    <w:basedOn w:val="Normal"/>
    <w:uiPriority w:val="34"/>
    <w:qFormat/>
    <w:rsid w:val="00B9793F"/>
    <w:pPr>
      <w:ind w:left="720"/>
    </w:pPr>
  </w:style>
  <w:style w:type="paragraph" w:styleId="Revision">
    <w:name w:val="Revision"/>
    <w:uiPriority w:val="99"/>
    <w:semiHidden/>
    <w:qFormat/>
    <w:rsid w:val="00D97139"/>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458B5-98E8-41EF-BDA7-09D427B0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dc:description/>
  <cp:lastModifiedBy>Maja Baric</cp:lastModifiedBy>
  <cp:revision>8</cp:revision>
  <cp:lastPrinted>2016-05-31T08:36:00Z</cp:lastPrinted>
  <dcterms:created xsi:type="dcterms:W3CDTF">2024-03-08T13:15:00Z</dcterms:created>
  <dcterms:modified xsi:type="dcterms:W3CDTF">2024-04-05T07:34:00Z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ENERATOR">
    <vt:lpwstr>Microsoft FrontPage 3.0</vt:lpwstr>
  </property>
</Properties>
</file>